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C794" w14:textId="02AFF668" w:rsidR="00794E6D" w:rsidRPr="00EC7368" w:rsidRDefault="00B418E1" w:rsidP="00EC7368">
      <w:pPr>
        <w:pStyle w:val="Title"/>
        <w:spacing w:after="240"/>
      </w:pPr>
      <w:r w:rsidRPr="00EC7368">
        <w:t>Advanced hybrid systems and new integration challenges</w:t>
      </w:r>
    </w:p>
    <w:p w14:paraId="692BA0C9" w14:textId="37DC89B8" w:rsidR="00F44542" w:rsidRPr="00EC7368" w:rsidRDefault="0090520A" w:rsidP="00EC7368">
      <w:pPr>
        <w:pStyle w:val="Subtitle"/>
        <w:spacing w:after="240"/>
      </w:pPr>
      <w:r w:rsidRPr="00EC7368">
        <w:t>O J Simmonds</w:t>
      </w:r>
      <w:r w:rsidR="00B418E1" w:rsidRPr="00EC7368">
        <w:t>*</w:t>
      </w:r>
      <w:r w:rsidR="00F03602" w:rsidRPr="00EC7368">
        <w:t xml:space="preserve"> MEng MSc CEng</w:t>
      </w:r>
      <w:r w:rsidR="00F44542" w:rsidRPr="00EC7368">
        <w:t xml:space="preserve"> </w:t>
      </w:r>
      <w:proofErr w:type="spellStart"/>
      <w:r w:rsidR="00F44542" w:rsidRPr="00EC7368">
        <w:t>CMarEng</w:t>
      </w:r>
      <w:proofErr w:type="spellEnd"/>
      <w:r w:rsidR="00F44542" w:rsidRPr="00EC7368">
        <w:t xml:space="preserve"> MIMarEST</w:t>
      </w:r>
    </w:p>
    <w:p w14:paraId="2515E7D2" w14:textId="440D2409" w:rsidR="00B418E1" w:rsidRPr="00F44542" w:rsidRDefault="00B418E1" w:rsidP="00F44542">
      <w:pPr>
        <w:pStyle w:val="Author"/>
        <w:spacing w:before="0" w:after="0"/>
        <w:jc w:val="left"/>
        <w:outlineLvl w:val="0"/>
        <w:rPr>
          <w:rFonts w:ascii="Times New Roman" w:hAnsi="Times New Roman" w:cs="Times New Roman"/>
          <w:sz w:val="20"/>
          <w:szCs w:val="20"/>
          <w:lang w:val="en-GB"/>
        </w:rPr>
      </w:pPr>
      <w:r w:rsidRPr="00F44542">
        <w:rPr>
          <w:rFonts w:ascii="Times New Roman" w:hAnsi="Times New Roman" w:cs="Times New Roman"/>
          <w:i/>
          <w:iCs/>
          <w:sz w:val="20"/>
          <w:szCs w:val="20"/>
          <w:lang w:val="en-GB"/>
        </w:rPr>
        <w:t xml:space="preserve">* </w:t>
      </w:r>
      <w:r w:rsidR="003B7E23">
        <w:rPr>
          <w:rFonts w:ascii="Times New Roman" w:hAnsi="Times New Roman" w:cs="Times New Roman"/>
          <w:i/>
          <w:iCs/>
          <w:sz w:val="20"/>
          <w:szCs w:val="20"/>
          <w:lang w:val="en-GB"/>
        </w:rPr>
        <w:t>BMT</w:t>
      </w:r>
      <w:r w:rsidR="00F03602" w:rsidRPr="00F44542">
        <w:rPr>
          <w:rFonts w:ascii="Times New Roman" w:hAnsi="Times New Roman" w:cs="Times New Roman"/>
          <w:i/>
          <w:iCs/>
          <w:sz w:val="20"/>
          <w:szCs w:val="20"/>
          <w:lang w:val="en-GB"/>
        </w:rPr>
        <w:t>, UK</w:t>
      </w:r>
    </w:p>
    <w:p w14:paraId="4EF21E73" w14:textId="1D4890A7" w:rsidR="00794E6D" w:rsidRPr="00EC7368" w:rsidRDefault="00F44542" w:rsidP="00626AC3">
      <w:pPr>
        <w:ind w:firstLine="0"/>
      </w:pPr>
      <w:r w:rsidRPr="00EC7368">
        <w:rPr>
          <w:i/>
        </w:rPr>
        <w:t>*</w:t>
      </w:r>
      <w:r w:rsidRPr="00EC7368">
        <w:t xml:space="preserve"> Corresponding Author. Email: </w:t>
      </w:r>
      <w:hyperlink r:id="rId11" w:history="1">
        <w:r w:rsidR="003B7E23" w:rsidRPr="006A1341">
          <w:rPr>
            <w:rStyle w:val="Hyperlink"/>
          </w:rPr>
          <w:t>ojsimmonds@gmail.com</w:t>
        </w:r>
      </w:hyperlink>
      <w:r w:rsidR="008E3A0D" w:rsidRPr="00EC7368">
        <w:t xml:space="preserve"> </w:t>
      </w:r>
    </w:p>
    <w:p w14:paraId="470B255A" w14:textId="77777777" w:rsidR="008E3A0D" w:rsidRPr="00F44542" w:rsidRDefault="008E3A0D" w:rsidP="00626AC3"/>
    <w:p w14:paraId="3986F805" w14:textId="67250493" w:rsidR="00794E6D" w:rsidRPr="008E3A0D" w:rsidRDefault="00F44542" w:rsidP="00F44542">
      <w:pPr>
        <w:pStyle w:val="Section"/>
        <w:jc w:val="center"/>
        <w:outlineLvl w:val="0"/>
        <w:rPr>
          <w:rFonts w:ascii="Times New Roman" w:hAnsi="Times New Roman" w:cs="Times New Roman"/>
          <w:b/>
          <w:sz w:val="18"/>
          <w:szCs w:val="18"/>
          <w:lang w:val="en-GB"/>
        </w:rPr>
      </w:pPr>
      <w:r w:rsidRPr="008E3A0D">
        <w:rPr>
          <w:rFonts w:ascii="Times New Roman" w:hAnsi="Times New Roman" w:cs="Times New Roman"/>
          <w:b/>
          <w:sz w:val="18"/>
          <w:szCs w:val="18"/>
          <w:lang w:val="en-GB"/>
        </w:rPr>
        <w:t>Synopsis</w:t>
      </w:r>
    </w:p>
    <w:p w14:paraId="0491BD17" w14:textId="7569A714" w:rsidR="00A44E05" w:rsidRPr="00626AC3" w:rsidRDefault="00DB3032" w:rsidP="00626AC3">
      <w:pPr>
        <w:pStyle w:val="Synopsis"/>
      </w:pPr>
      <w:r w:rsidRPr="00626AC3">
        <w:t xml:space="preserve">In recent years there has been a marked shift towards </w:t>
      </w:r>
      <w:r w:rsidR="00D218C1" w:rsidRPr="00626AC3">
        <w:t>h</w:t>
      </w:r>
      <w:r w:rsidRPr="00626AC3">
        <w:t xml:space="preserve">ybrid </w:t>
      </w:r>
      <w:r w:rsidR="00D218C1" w:rsidRPr="00626AC3">
        <w:t>p</w:t>
      </w:r>
      <w:r w:rsidRPr="00626AC3">
        <w:t xml:space="preserve">ropulsion systems. Whilst the main reasons </w:t>
      </w:r>
      <w:r w:rsidR="00DB4041" w:rsidRPr="00626AC3">
        <w:t xml:space="preserve">for adopting hybrid systems </w:t>
      </w:r>
      <w:r w:rsidRPr="00626AC3">
        <w:t>have been for efficiency and through-l</w:t>
      </w:r>
      <w:r w:rsidR="00DB4041" w:rsidRPr="00626AC3">
        <w:t xml:space="preserve">ife fuel saving benefits, they </w:t>
      </w:r>
      <w:r w:rsidRPr="00626AC3">
        <w:t xml:space="preserve">also offer increased flexibility to the operators for varying mission profiles. </w:t>
      </w:r>
      <w:r w:rsidR="00EE52FC" w:rsidRPr="00626AC3">
        <w:t>N</w:t>
      </w:r>
      <w:r w:rsidR="006B65FF" w:rsidRPr="00626AC3">
        <w:t xml:space="preserve">ew advanced hybrids </w:t>
      </w:r>
      <w:r w:rsidRPr="00626AC3">
        <w:t>combine a large main diesel engine with an active-front</w:t>
      </w:r>
      <w:r w:rsidR="00D63DF5" w:rsidRPr="00626AC3">
        <w:t>-</w:t>
      </w:r>
      <w:r w:rsidRPr="00626AC3">
        <w:t xml:space="preserve">end variable speed electric drive in combination with an induction motor, that can operate as both a motor (Power Take In – PTI) and a generator (Power Take Off – PTO), to drive a </w:t>
      </w:r>
      <w:r w:rsidR="00D218C1" w:rsidRPr="00626AC3">
        <w:t>c</w:t>
      </w:r>
      <w:r w:rsidRPr="00626AC3">
        <w:t xml:space="preserve">ontrollable </w:t>
      </w:r>
      <w:r w:rsidR="00D218C1" w:rsidRPr="00626AC3">
        <w:t>p</w:t>
      </w:r>
      <w:r w:rsidRPr="00626AC3">
        <w:t xml:space="preserve">itch </w:t>
      </w:r>
      <w:r w:rsidR="00D218C1" w:rsidRPr="00626AC3">
        <w:t>p</w:t>
      </w:r>
      <w:r w:rsidRPr="00626AC3">
        <w:t>ropeller</w:t>
      </w:r>
      <w:r w:rsidR="00D218C1" w:rsidRPr="00626AC3">
        <w:t xml:space="preserve"> </w:t>
      </w:r>
      <w:r w:rsidRPr="00626AC3">
        <w:t>through a gearbox. In these cases the systems used and the concepts of operation required need the correct integration to fully maximise the potential. This paper explores recent</w:t>
      </w:r>
      <w:r w:rsidR="00A44E05" w:rsidRPr="00626AC3">
        <w:t xml:space="preserve"> experience of this integration, using lessons learnt </w:t>
      </w:r>
      <w:r w:rsidR="009A3518" w:rsidRPr="00626AC3">
        <w:t>from</w:t>
      </w:r>
      <w:r w:rsidRPr="00626AC3">
        <w:t xml:space="preserve"> the initial concept phase through to detailed design and equipment delivery on </w:t>
      </w:r>
      <w:r w:rsidR="00A44E05" w:rsidRPr="00626AC3">
        <w:t>several new</w:t>
      </w:r>
      <w:r w:rsidR="009A3518" w:rsidRPr="00626AC3">
        <w:t xml:space="preserve"> projects: the UK MARS </w:t>
      </w:r>
      <w:r w:rsidR="002F40C0" w:rsidRPr="00626AC3">
        <w:t>T</w:t>
      </w:r>
      <w:r w:rsidR="00447581" w:rsidRPr="00626AC3">
        <w:t>ankers and</w:t>
      </w:r>
      <w:r w:rsidR="009A3518" w:rsidRPr="00626AC3">
        <w:t xml:space="preserve"> </w:t>
      </w:r>
      <w:r w:rsidRPr="00626AC3">
        <w:t>the Norwegian Logistics &amp; Support Vessel</w:t>
      </w:r>
      <w:r w:rsidR="009A3518" w:rsidRPr="00626AC3">
        <w:t xml:space="preserve">. </w:t>
      </w:r>
      <w:r w:rsidRPr="00626AC3">
        <w:t>The paper address</w:t>
      </w:r>
      <w:r w:rsidR="003F1A7D" w:rsidRPr="00626AC3">
        <w:t>es</w:t>
      </w:r>
      <w:r w:rsidRPr="00626AC3">
        <w:t xml:space="preserve"> some of the challenges encountered and demonstrates how they can be mitigated focuss</w:t>
      </w:r>
      <w:r w:rsidR="00A44E05" w:rsidRPr="00626AC3">
        <w:t>ing on a whole systems approach and the use of novel techniques.</w:t>
      </w:r>
    </w:p>
    <w:p w14:paraId="2B0962F0" w14:textId="77777777" w:rsidR="00F44542" w:rsidRPr="00626AC3" w:rsidRDefault="00F44542" w:rsidP="00626AC3">
      <w:pPr>
        <w:pStyle w:val="Synopsis"/>
      </w:pPr>
    </w:p>
    <w:p w14:paraId="22256868" w14:textId="431B53D2" w:rsidR="00F44542" w:rsidRPr="00626AC3" w:rsidRDefault="00F44542" w:rsidP="00626AC3">
      <w:pPr>
        <w:pStyle w:val="Synopsis"/>
      </w:pPr>
      <w:r w:rsidRPr="00626AC3">
        <w:t>Keywords: Hybrid; PTI; PTO; Propulsion; Integration; Marine systems</w:t>
      </w:r>
    </w:p>
    <w:p w14:paraId="4A361B9D" w14:textId="77777777" w:rsidR="008E3A0D" w:rsidRPr="00626AC3" w:rsidRDefault="008E3A0D" w:rsidP="00626AC3">
      <w:pPr>
        <w:pStyle w:val="Synopsis"/>
      </w:pPr>
    </w:p>
    <w:p w14:paraId="19544A97" w14:textId="42DF4E0D" w:rsidR="00BF0C0E" w:rsidRPr="00EC7368" w:rsidRDefault="006D77BE" w:rsidP="00EC7368">
      <w:pPr>
        <w:pStyle w:val="Heading1"/>
      </w:pPr>
      <w:r w:rsidRPr="00EC7368">
        <w:t>I</w:t>
      </w:r>
      <w:r w:rsidR="00F44542" w:rsidRPr="00EC7368">
        <w:t>ntroduction: M</w:t>
      </w:r>
      <w:r w:rsidR="00985A18">
        <w:t>oving away from mechanical p</w:t>
      </w:r>
      <w:r w:rsidR="00F44542" w:rsidRPr="00EC7368">
        <w:t>ropulsion</w:t>
      </w:r>
    </w:p>
    <w:p w14:paraId="074F5FD2" w14:textId="6DEF6D8A" w:rsidR="002853CC" w:rsidRPr="00F44542" w:rsidRDefault="00BF0C0E" w:rsidP="00626AC3">
      <w:r w:rsidRPr="00F44542">
        <w:t xml:space="preserve">Since the </w:t>
      </w:r>
      <w:r w:rsidR="00D218C1" w:rsidRPr="00F44542">
        <w:t>mid-20</w:t>
      </w:r>
      <w:r w:rsidR="00D218C1" w:rsidRPr="00F44542">
        <w:rPr>
          <w:vertAlign w:val="superscript"/>
        </w:rPr>
        <w:t>th</w:t>
      </w:r>
      <w:r w:rsidR="002853CC" w:rsidRPr="00F44542">
        <w:t xml:space="preserve"> </w:t>
      </w:r>
      <w:r w:rsidR="00D218C1" w:rsidRPr="00F44542">
        <w:t>c</w:t>
      </w:r>
      <w:r w:rsidR="002853CC" w:rsidRPr="00F44542">
        <w:t>entury</w:t>
      </w:r>
      <w:r w:rsidRPr="00F44542">
        <w:t xml:space="preserve"> the trend for Naval ship propulsion has </w:t>
      </w:r>
      <w:r w:rsidR="00DB4041" w:rsidRPr="00F44542">
        <w:t xml:space="preserve">moved away from a purely </w:t>
      </w:r>
      <w:r w:rsidR="00D218C1" w:rsidRPr="00F44542">
        <w:t>m</w:t>
      </w:r>
      <w:r w:rsidR="00DB4041" w:rsidRPr="00F44542">
        <w:t xml:space="preserve">echanical system towards an </w:t>
      </w:r>
      <w:r w:rsidR="00D218C1" w:rsidRPr="00F44542">
        <w:t>e</w:t>
      </w:r>
      <w:r w:rsidR="00DB4041" w:rsidRPr="00F44542">
        <w:t xml:space="preserve">lectric one. </w:t>
      </w:r>
      <w:r w:rsidR="00D218C1" w:rsidRPr="00F44542">
        <w:t>Historically b</w:t>
      </w:r>
      <w:r w:rsidR="00DB4041" w:rsidRPr="00F44542">
        <w:t xml:space="preserve">oth </w:t>
      </w:r>
      <w:r w:rsidR="00D218C1" w:rsidRPr="00F44542">
        <w:t>h</w:t>
      </w:r>
      <w:r w:rsidR="00DB4041" w:rsidRPr="00F44542">
        <w:t>ybrid</w:t>
      </w:r>
      <w:r w:rsidR="00D218C1" w:rsidRPr="00F44542">
        <w:t>-e</w:t>
      </w:r>
      <w:r w:rsidR="00DB4041" w:rsidRPr="00F44542">
        <w:t xml:space="preserve">lectric and </w:t>
      </w:r>
      <w:r w:rsidR="00D218C1" w:rsidRPr="00F44542">
        <w:t>f</w:t>
      </w:r>
      <w:r w:rsidR="00DB4041" w:rsidRPr="00F44542">
        <w:t>ull</w:t>
      </w:r>
      <w:r w:rsidR="00D218C1" w:rsidRPr="00F44542">
        <w:t>-e</w:t>
      </w:r>
      <w:r w:rsidR="00DB4041" w:rsidRPr="00F44542">
        <w:t xml:space="preserve">lectric propulsion systems have been </w:t>
      </w:r>
      <w:r w:rsidR="006B65FF" w:rsidRPr="00F44542">
        <w:t>utilised</w:t>
      </w:r>
      <w:r w:rsidR="002853CC" w:rsidRPr="00F44542">
        <w:t xml:space="preserve">, with some of the early </w:t>
      </w:r>
      <w:r w:rsidR="00D218C1" w:rsidRPr="00F44542">
        <w:t>h</w:t>
      </w:r>
      <w:r w:rsidR="002853CC" w:rsidRPr="00F44542">
        <w:t xml:space="preserve">ybrid systems acting as a ‘first-step’ away from </w:t>
      </w:r>
      <w:r w:rsidR="00D218C1" w:rsidRPr="00F44542">
        <w:t>m</w:t>
      </w:r>
      <w:r w:rsidR="002853CC" w:rsidRPr="00F44542">
        <w:t xml:space="preserve">echanical propulsion. </w:t>
      </w:r>
      <w:r w:rsidR="00D63DF5" w:rsidRPr="00F44542">
        <w:t>For example, t</w:t>
      </w:r>
      <w:r w:rsidR="002853CC" w:rsidRPr="00F44542">
        <w:t>he Type 23 ‘Duke’ Class Frigates, designed</w:t>
      </w:r>
      <w:r w:rsidR="00F479EA" w:rsidRPr="00F44542">
        <w:t xml:space="preserve"> back</w:t>
      </w:r>
      <w:r w:rsidR="002853CC" w:rsidRPr="00F44542">
        <w:t xml:space="preserve"> during the 1980s, adopted a </w:t>
      </w:r>
      <w:r w:rsidR="00D218C1" w:rsidRPr="00F44542">
        <w:t>h</w:t>
      </w:r>
      <w:r w:rsidR="002853CC" w:rsidRPr="00F44542">
        <w:t>ybrid propulsion system, using electric drive for quiet anti-submarine operations, and gas-turbine</w:t>
      </w:r>
      <w:r w:rsidR="00D63DF5" w:rsidRPr="00F44542">
        <w:t>s</w:t>
      </w:r>
      <w:r w:rsidR="002853CC" w:rsidRPr="00F44542">
        <w:t xml:space="preserve"> for high</w:t>
      </w:r>
      <w:r w:rsidR="001A0569" w:rsidRPr="00F44542">
        <w:t xml:space="preserve">er </w:t>
      </w:r>
      <w:r w:rsidR="002853CC" w:rsidRPr="00F44542">
        <w:t>speed</w:t>
      </w:r>
      <w:r w:rsidR="001A0569" w:rsidRPr="00F44542">
        <w:t xml:space="preserve">s </w:t>
      </w:r>
      <w:r w:rsidR="002853CC" w:rsidRPr="00F44542">
        <w:t>(</w:t>
      </w:r>
      <w:r w:rsidR="00EC7368">
        <w:t>Simmonds, 2013</w:t>
      </w:r>
      <w:r w:rsidR="002853CC" w:rsidRPr="00F44542">
        <w:t>).</w:t>
      </w:r>
    </w:p>
    <w:p w14:paraId="7C1B38CB" w14:textId="5C2ED3CB" w:rsidR="00D63DF5" w:rsidRPr="00F44542" w:rsidRDefault="002853CC" w:rsidP="00626AC3">
      <w:r w:rsidRPr="00F44542">
        <w:t>I</w:t>
      </w:r>
      <w:r w:rsidR="00DB4041" w:rsidRPr="00F44542">
        <w:t xml:space="preserve">n recent years larger ship projects have favoured </w:t>
      </w:r>
      <w:r w:rsidR="00BF0C0E" w:rsidRPr="00F44542">
        <w:t>Integrated Full Electric Propulsion (IFEP) where the same generators can provide power for both propulsion and ship’s services. This type of system allows the use of fewer prime movers</w:t>
      </w:r>
      <w:r w:rsidR="006B65FF" w:rsidRPr="00F44542">
        <w:t xml:space="preserve"> for</w:t>
      </w:r>
      <w:r w:rsidR="00BF0C0E" w:rsidRPr="00F44542">
        <w:t xml:space="preserve"> both propulsion and electrical loads. In addition</w:t>
      </w:r>
      <w:r w:rsidR="00D218C1" w:rsidRPr="00F44542">
        <w:t>,</w:t>
      </w:r>
      <w:r w:rsidR="00BF0C0E" w:rsidRPr="00F44542">
        <w:t xml:space="preserve"> high levels of power can be made available (at low speeds) for a new generation of high power sensors, launchers and electric weapons.</w:t>
      </w:r>
      <w:r w:rsidR="005D0733" w:rsidRPr="00F44542">
        <w:t xml:space="preserve"> </w:t>
      </w:r>
      <w:r w:rsidR="00BF0C0E" w:rsidRPr="00F44542">
        <w:t xml:space="preserve">An electric propulsion system </w:t>
      </w:r>
      <w:r w:rsidR="005D0733" w:rsidRPr="00F44542">
        <w:t xml:space="preserve">also </w:t>
      </w:r>
      <w:r w:rsidR="00BF0C0E" w:rsidRPr="00F44542">
        <w:t xml:space="preserve">allows for flexibility of layout and operation as the majority of equipment, especially the large prime movers with </w:t>
      </w:r>
      <w:r w:rsidR="00D63DF5" w:rsidRPr="00F44542">
        <w:t xml:space="preserve">significant </w:t>
      </w:r>
      <w:r w:rsidR="00BF0C0E" w:rsidRPr="00F44542">
        <w:t>air inlet and exhaust requirements, can be positi</w:t>
      </w:r>
      <w:r w:rsidR="008D231F" w:rsidRPr="00F44542">
        <w:t xml:space="preserve">oned independently of the </w:t>
      </w:r>
      <w:proofErr w:type="spellStart"/>
      <w:r w:rsidR="008D231F" w:rsidRPr="00F44542">
        <w:t>shaft</w:t>
      </w:r>
      <w:r w:rsidR="005D0733" w:rsidRPr="00F44542">
        <w:t>line</w:t>
      </w:r>
      <w:proofErr w:type="spellEnd"/>
      <w:r w:rsidR="005D0733" w:rsidRPr="00F44542">
        <w:t>(s).</w:t>
      </w:r>
      <w:r w:rsidR="006B65FF" w:rsidRPr="00F44542">
        <w:t xml:space="preserve"> These factors combined </w:t>
      </w:r>
      <w:r w:rsidR="00BF0C0E" w:rsidRPr="00F44542">
        <w:t>gave the operators flexibility for varying mission profiles whilst giving the Navy future flexibility to fit high-powered electric weapons</w:t>
      </w:r>
      <w:r w:rsidR="00D63DF5" w:rsidRPr="00F44542">
        <w:t xml:space="preserve"> and electromagnetic launchers.</w:t>
      </w:r>
    </w:p>
    <w:p w14:paraId="3C04C65E" w14:textId="66A32CA7" w:rsidR="00F44542" w:rsidRDefault="005D0733" w:rsidP="00626AC3">
      <w:r w:rsidRPr="00F44542">
        <w:t>The UK Royal Navy adopted IFEP for their latest frontline ships, namely the Type 45 Destroyer and the Queen Elizabeth Aircraft Carriers (</w:t>
      </w:r>
      <w:r w:rsidR="00EC7368">
        <w:t>Simmonds, 2013</w:t>
      </w:r>
      <w:r w:rsidRPr="00F44542">
        <w:t>). In the case of the carriers, being able to move the location of the large gas tur</w:t>
      </w:r>
      <w:r w:rsidR="006B65FF" w:rsidRPr="00F44542">
        <w:t xml:space="preserve">bines away from the shaftlines </w:t>
      </w:r>
      <w:r w:rsidRPr="00F44542">
        <w:t>gave the Naval Architects increased space for the flight deck and hanger</w:t>
      </w:r>
      <w:r w:rsidR="00F44542">
        <w:t>.</w:t>
      </w:r>
    </w:p>
    <w:p w14:paraId="65C65A59" w14:textId="47EF410E" w:rsidR="00F91519" w:rsidRPr="00F44542" w:rsidRDefault="00F44542" w:rsidP="00626AC3">
      <w:r w:rsidRPr="00F44542">
        <w:t>Whilst neither of these ships currently have any of the aforementioned high-power electric loads, one day they may be retrofitted as the technology maturity level of the equipment increases and threats evolve. As and when this occurs, the IFEP systems have the required power reserves to allow aircraft to be electromagnetically launched or directed energy weapons to target enemy threats.</w:t>
      </w:r>
      <w:r w:rsidR="005D0733" w:rsidRPr="00F44542">
        <w:t xml:space="preserve"> </w:t>
      </w:r>
    </w:p>
    <w:p w14:paraId="3A94E553" w14:textId="77777777" w:rsidR="00D63DF5" w:rsidRPr="00F44542" w:rsidRDefault="00D63DF5" w:rsidP="00626AC3"/>
    <w:p w14:paraId="7D2E6BA1" w14:textId="77777777" w:rsidR="00D63DF5" w:rsidRPr="00F44542" w:rsidRDefault="00D63DF5" w:rsidP="00626AC3">
      <w:pPr>
        <w:sectPr w:rsidR="00D63DF5" w:rsidRPr="00F44542" w:rsidSect="00F44542">
          <w:headerReference w:type="even" r:id="rId12"/>
          <w:headerReference w:type="default" r:id="rId13"/>
          <w:footerReference w:type="even" r:id="rId14"/>
          <w:footerReference w:type="default" r:id="rId15"/>
          <w:headerReference w:type="first" r:id="rId16"/>
          <w:footerReference w:type="first" r:id="rId17"/>
          <w:pgSz w:w="11900" w:h="16840"/>
          <w:pgMar w:top="1644" w:right="1418" w:bottom="2268" w:left="1418" w:header="720" w:footer="912" w:gutter="0"/>
          <w:cols w:space="720"/>
        </w:sectPr>
      </w:pPr>
    </w:p>
    <w:p w14:paraId="0D7C06CD" w14:textId="3F5322AC" w:rsidR="00865980" w:rsidRPr="00F44542" w:rsidRDefault="00865980" w:rsidP="008E3A0D">
      <w:pPr>
        <w:pStyle w:val="Section"/>
        <w:numPr>
          <w:ilvl w:val="0"/>
          <w:numId w:val="11"/>
        </w:numPr>
        <w:tabs>
          <w:tab w:val="clear" w:pos="284"/>
        </w:tabs>
        <w:ind w:left="284" w:hanging="284"/>
        <w:jc w:val="left"/>
        <w:outlineLvl w:val="0"/>
        <w:rPr>
          <w:rFonts w:ascii="Times New Roman" w:hAnsi="Times New Roman" w:cs="Times New Roman"/>
          <w:b/>
          <w:sz w:val="20"/>
          <w:szCs w:val="20"/>
          <w:lang w:val="en-GB"/>
        </w:rPr>
      </w:pPr>
      <w:r w:rsidRPr="00F44542">
        <w:rPr>
          <w:rFonts w:ascii="Times New Roman" w:hAnsi="Times New Roman" w:cs="Times New Roman"/>
          <w:b/>
          <w:sz w:val="20"/>
          <w:szCs w:val="20"/>
          <w:lang w:val="en-GB"/>
        </w:rPr>
        <w:lastRenderedPageBreak/>
        <w:t>T</w:t>
      </w:r>
      <w:r w:rsidR="008E3A0D">
        <w:rPr>
          <w:rFonts w:ascii="Times New Roman" w:hAnsi="Times New Roman" w:cs="Times New Roman"/>
          <w:b/>
          <w:sz w:val="20"/>
          <w:szCs w:val="20"/>
          <w:lang w:val="en-GB"/>
        </w:rPr>
        <w:t>he hybrid option</w:t>
      </w:r>
    </w:p>
    <w:p w14:paraId="093923E4" w14:textId="1CBF52F4" w:rsidR="00D63DF5" w:rsidRPr="00F44542" w:rsidRDefault="00D04CF9" w:rsidP="00626AC3">
      <w:r w:rsidRPr="00F44542">
        <w:t>Despite the many well published benefits of IFEP, it</w:t>
      </w:r>
      <w:r w:rsidR="00D63DF5" w:rsidRPr="00F44542">
        <w:t xml:space="preserve"> has not always been the flavour of the month for smaller ships. </w:t>
      </w:r>
      <w:r w:rsidRPr="00F44542">
        <w:t>IFEP</w:t>
      </w:r>
      <w:r w:rsidR="00D63DF5" w:rsidRPr="00F44542">
        <w:t xml:space="preserve"> come</w:t>
      </w:r>
      <w:r w:rsidRPr="00F44542">
        <w:t>s</w:t>
      </w:r>
      <w:r w:rsidR="00D63DF5" w:rsidRPr="00F44542">
        <w:t xml:space="preserve"> at the cost of greater volume and weight compared to other types of more mechanical based propulsion, and it is often more expensive</w:t>
      </w:r>
      <w:r w:rsidR="00980EBF" w:rsidRPr="00F44542">
        <w:t xml:space="preserve"> to purchase</w:t>
      </w:r>
      <w:r w:rsidR="00D63DF5" w:rsidRPr="00F44542">
        <w:t>. For an auxiliary support ship there is currently little need for high power levels for next-generation weapons and sensors, instead through-life costs</w:t>
      </w:r>
      <w:r w:rsidR="00582840" w:rsidRPr="00F44542">
        <w:t xml:space="preserve"> (TLC)</w:t>
      </w:r>
      <w:r w:rsidR="00D63DF5" w:rsidRPr="00F44542">
        <w:t xml:space="preserve"> and efficiency tend to be the main drivers. A hybrid mechanical </w:t>
      </w:r>
      <w:r w:rsidR="00CE3F13" w:rsidRPr="00F44542">
        <w:t>and</w:t>
      </w:r>
      <w:r w:rsidR="00D63DF5" w:rsidRPr="00F44542">
        <w:t xml:space="preserve"> electric propulsion system is an excellent alternative choice </w:t>
      </w:r>
      <w:r w:rsidR="00077346" w:rsidRPr="00F44542">
        <w:t>to IFEP for such vessels</w:t>
      </w:r>
      <w:r w:rsidR="00F11A49" w:rsidRPr="00F44542">
        <w:t xml:space="preserve"> (</w:t>
      </w:r>
      <w:r w:rsidR="00EC7368">
        <w:t>Dalton &amp; McCoy, 2012</w:t>
      </w:r>
      <w:r w:rsidR="00F11A49" w:rsidRPr="00F44542">
        <w:t>).</w:t>
      </w:r>
    </w:p>
    <w:p w14:paraId="353D5894" w14:textId="6DF08C0B" w:rsidR="00865980" w:rsidRPr="00F44542" w:rsidRDefault="00865980" w:rsidP="00626AC3">
      <w:r w:rsidRPr="00F44542">
        <w:t>The focus</w:t>
      </w:r>
      <w:r w:rsidR="00CE3F13" w:rsidRPr="00F44542">
        <w:t xml:space="preserve"> of this paper</w:t>
      </w:r>
      <w:r w:rsidRPr="00F44542">
        <w:t xml:space="preserve"> is </w:t>
      </w:r>
      <w:r w:rsidR="00CE3F13" w:rsidRPr="00F44542">
        <w:t>on</w:t>
      </w:r>
      <w:r w:rsidRPr="00F44542">
        <w:t xml:space="preserve"> a </w:t>
      </w:r>
      <w:proofErr w:type="spellStart"/>
      <w:r w:rsidR="00F75C69" w:rsidRPr="00F44542">
        <w:t>COmbined</w:t>
      </w:r>
      <w:proofErr w:type="spellEnd"/>
      <w:r w:rsidR="00F75C69" w:rsidRPr="00F44542">
        <w:t xml:space="preserve"> Diesel </w:t>
      </w:r>
      <w:proofErr w:type="spellStart"/>
      <w:r w:rsidR="00F75C69" w:rsidRPr="00F44542">
        <w:t>eLectric</w:t>
      </w:r>
      <w:proofErr w:type="spellEnd"/>
      <w:r w:rsidRPr="00F44542">
        <w:t xml:space="preserve"> Or Diesel (CODLOD) arrangement with the added flexibility that the electrical induction machine can operate as both a motor (Power Take In – PTI) and a generator (Power Take Off – PTO).</w:t>
      </w:r>
      <w:r w:rsidR="00BF0C0E" w:rsidRPr="00F44542">
        <w:t xml:space="preserve"> A representative </w:t>
      </w:r>
      <w:r w:rsidR="00CE3F13" w:rsidRPr="00F44542">
        <w:t>s</w:t>
      </w:r>
      <w:r w:rsidR="00BF0C0E" w:rsidRPr="00F44542">
        <w:t xml:space="preserve">ingle </w:t>
      </w:r>
      <w:r w:rsidR="00CE3F13" w:rsidRPr="00F44542">
        <w:t>l</w:t>
      </w:r>
      <w:r w:rsidR="00BF0C0E" w:rsidRPr="00F44542">
        <w:t xml:space="preserve">ine </w:t>
      </w:r>
      <w:r w:rsidR="00CE3F13" w:rsidRPr="00F44542">
        <w:t>d</w:t>
      </w:r>
      <w:r w:rsidR="00BF0C0E" w:rsidRPr="00F44542">
        <w:t xml:space="preserve">iagram (SLD) of </w:t>
      </w:r>
      <w:r w:rsidR="00CE3F13" w:rsidRPr="00F44542">
        <w:t xml:space="preserve">this arrangement can be seen </w:t>
      </w:r>
      <w:r w:rsidR="00BF0C0E" w:rsidRPr="00F44542">
        <w:t xml:space="preserve">in </w:t>
      </w:r>
      <w:r w:rsidR="00BF0C0E" w:rsidRPr="00F44542">
        <w:fldChar w:fldCharType="begin"/>
      </w:r>
      <w:r w:rsidR="00BF0C0E" w:rsidRPr="00F44542">
        <w:instrText xml:space="preserve"> REF _Ref436399807 </w:instrText>
      </w:r>
      <w:r w:rsidR="009C24A6" w:rsidRPr="00F44542">
        <w:instrText xml:space="preserve"> \* MERGEFORMAT </w:instrText>
      </w:r>
      <w:r w:rsidR="00BF0C0E" w:rsidRPr="00F44542">
        <w:fldChar w:fldCharType="separate"/>
      </w:r>
      <w:r w:rsidR="00EC7368" w:rsidRPr="00EC7368">
        <w:t xml:space="preserve">Figure </w:t>
      </w:r>
      <w:r w:rsidR="00EC7368" w:rsidRPr="00EC7368">
        <w:rPr>
          <w:noProof/>
        </w:rPr>
        <w:t>1</w:t>
      </w:r>
      <w:r w:rsidR="00BF0C0E" w:rsidRPr="00F44542">
        <w:fldChar w:fldCharType="end"/>
      </w:r>
      <w:r w:rsidR="00B92C4E" w:rsidRPr="00F44542">
        <w:t>.</w:t>
      </w:r>
      <w:r w:rsidR="000F27FD" w:rsidRPr="00F44542">
        <w:t xml:space="preserve"> At a simplistic level this </w:t>
      </w:r>
      <w:r w:rsidR="00CE3F13" w:rsidRPr="00F44542">
        <w:t>hybrid system</w:t>
      </w:r>
      <w:r w:rsidR="000F27FD" w:rsidRPr="00F44542">
        <w:t xml:space="preserve"> is shared by both the MARS Tankers and the Norwegian </w:t>
      </w:r>
      <w:r w:rsidR="00CE3F13" w:rsidRPr="00F44542">
        <w:t>Logistics &amp; Support Vessel (LSV)</w:t>
      </w:r>
      <w:r w:rsidR="000F27FD" w:rsidRPr="00F44542">
        <w:t>.</w:t>
      </w:r>
    </w:p>
    <w:p w14:paraId="66C72F95" w14:textId="77777777" w:rsidR="00BF0C0E" w:rsidRPr="00F44542" w:rsidRDefault="00BF0C0E" w:rsidP="00626AC3"/>
    <w:p w14:paraId="02795D38" w14:textId="7E9FB19B" w:rsidR="00BF0C0E" w:rsidRPr="00F44542" w:rsidRDefault="00F91519" w:rsidP="00626AC3">
      <w:pPr>
        <w:pStyle w:val="Figure"/>
      </w:pPr>
      <w:r w:rsidRPr="00F44542">
        <w:drawing>
          <wp:inline distT="0" distB="0" distL="0" distR="0" wp14:anchorId="40F1C762" wp14:editId="36E385B3">
            <wp:extent cx="4426058" cy="32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6058" cy="3240000"/>
                    </a:xfrm>
                    <a:prstGeom prst="rect">
                      <a:avLst/>
                    </a:prstGeom>
                    <a:noFill/>
                    <a:ln>
                      <a:noFill/>
                    </a:ln>
                  </pic:spPr>
                </pic:pic>
              </a:graphicData>
            </a:graphic>
          </wp:inline>
        </w:drawing>
      </w:r>
    </w:p>
    <w:p w14:paraId="04F9EB03" w14:textId="131458E3" w:rsidR="00BF0C0E" w:rsidRPr="00F44542" w:rsidRDefault="00BF0C0E" w:rsidP="008E3A0D">
      <w:pPr>
        <w:pStyle w:val="Caption"/>
      </w:pPr>
      <w:bookmarkStart w:id="0" w:name="_Ref436399807"/>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1</w:t>
      </w:r>
      <w:r w:rsidR="00CA4C92">
        <w:rPr>
          <w:noProof/>
        </w:rPr>
        <w:fldChar w:fldCharType="end"/>
      </w:r>
      <w:bookmarkEnd w:id="0"/>
      <w:r w:rsidRPr="00F44542">
        <w:t>: CODLOD Hybrid Propulsion with PTI/PTO</w:t>
      </w:r>
    </w:p>
    <w:p w14:paraId="38407B3D" w14:textId="21F7C357" w:rsidR="00BF0C0E" w:rsidRPr="00F44542" w:rsidRDefault="00CE3F13" w:rsidP="00626AC3">
      <w:r w:rsidRPr="00F44542">
        <w:fldChar w:fldCharType="begin"/>
      </w:r>
      <w:r w:rsidRPr="00F44542">
        <w:instrText xml:space="preserve"> REF _Ref436399807 </w:instrText>
      </w:r>
      <w:r w:rsidR="009C24A6" w:rsidRPr="00F44542">
        <w:instrText xml:space="preserve"> \* MERGEFORMAT </w:instrText>
      </w:r>
      <w:r w:rsidRPr="00F44542">
        <w:fldChar w:fldCharType="separate"/>
      </w:r>
      <w:r w:rsidR="00EC7368" w:rsidRPr="00EC7368">
        <w:t xml:space="preserve">Figure </w:t>
      </w:r>
      <w:r w:rsidR="00EC7368" w:rsidRPr="00EC7368">
        <w:rPr>
          <w:noProof/>
        </w:rPr>
        <w:t>1</w:t>
      </w:r>
      <w:r w:rsidRPr="00F44542">
        <w:fldChar w:fldCharType="end"/>
      </w:r>
      <w:r w:rsidRPr="00F44542">
        <w:t xml:space="preserve"> </w:t>
      </w:r>
      <w:r w:rsidR="00F75C69" w:rsidRPr="00F44542">
        <w:t xml:space="preserve">shows a simplified view of the </w:t>
      </w:r>
      <w:r w:rsidRPr="00F44542">
        <w:t xml:space="preserve">CODLOD </w:t>
      </w:r>
      <w:r w:rsidR="00F75C69" w:rsidRPr="00F44542">
        <w:t xml:space="preserve">hybrid system. On each of the two shafts, a </w:t>
      </w:r>
      <w:r w:rsidRPr="00F44542">
        <w:t>m</w:t>
      </w:r>
      <w:r w:rsidR="00F75C69" w:rsidRPr="00F44542">
        <w:t xml:space="preserve">ain </w:t>
      </w:r>
      <w:r w:rsidRPr="00F44542">
        <w:t>d</w:t>
      </w:r>
      <w:r w:rsidR="00F75C69" w:rsidRPr="00F44542">
        <w:t xml:space="preserve">iesel </w:t>
      </w:r>
      <w:r w:rsidRPr="00F44542">
        <w:t>e</w:t>
      </w:r>
      <w:r w:rsidR="00F75C69" w:rsidRPr="00F44542">
        <w:t xml:space="preserve">ngine (MDE) and a </w:t>
      </w:r>
      <w:r w:rsidRPr="00F44542">
        <w:t>h</w:t>
      </w:r>
      <w:r w:rsidR="00F75C69" w:rsidRPr="00F44542">
        <w:t xml:space="preserve">ybrid </w:t>
      </w:r>
      <w:r w:rsidRPr="00F44542">
        <w:t>m</w:t>
      </w:r>
      <w:r w:rsidR="00F75C69" w:rsidRPr="00F44542">
        <w:t xml:space="preserve">achine (HM) drive a </w:t>
      </w:r>
      <w:r w:rsidRPr="00F44542">
        <w:t>c</w:t>
      </w:r>
      <w:r w:rsidR="00F75C69" w:rsidRPr="00F44542">
        <w:t xml:space="preserve">ontrollable </w:t>
      </w:r>
      <w:r w:rsidRPr="00F44542">
        <w:t>p</w:t>
      </w:r>
      <w:r w:rsidR="00F75C69" w:rsidRPr="00F44542">
        <w:t xml:space="preserve">itch </w:t>
      </w:r>
      <w:r w:rsidRPr="00F44542">
        <w:t>p</w:t>
      </w:r>
      <w:r w:rsidR="00F75C69" w:rsidRPr="00F44542">
        <w:t>ropeller (CPP) via a reduction gearbox. As previously mentioned the HM can be run as either a motor (driving the shaft) or a generator (providing electr</w:t>
      </w:r>
      <w:r w:rsidR="00EE52FC" w:rsidRPr="00F44542">
        <w:t>ic power for the ship</w:t>
      </w:r>
      <w:r w:rsidR="00F75C69" w:rsidRPr="00F44542">
        <w:t>), and it is connected to the main distribution network via a bi-directional power el</w:t>
      </w:r>
      <w:r w:rsidR="00D04CF9" w:rsidRPr="00F44542">
        <w:t xml:space="preserve">ectronic converter. In addition, </w:t>
      </w:r>
      <w:r w:rsidR="00F75C69" w:rsidRPr="00F44542">
        <w:t xml:space="preserve">two </w:t>
      </w:r>
      <w:r w:rsidRPr="00F44542">
        <w:t>d</w:t>
      </w:r>
      <w:r w:rsidR="00F75C69" w:rsidRPr="00F44542">
        <w:t xml:space="preserve">iesel </w:t>
      </w:r>
      <w:r w:rsidRPr="00F44542">
        <w:t>g</w:t>
      </w:r>
      <w:r w:rsidR="00F75C69" w:rsidRPr="00F44542">
        <w:t xml:space="preserve">enerators (DGs) can supply power for either electric propulsion or </w:t>
      </w:r>
      <w:r w:rsidRPr="00F44542">
        <w:t xml:space="preserve">the </w:t>
      </w:r>
      <w:r w:rsidR="00F75C69" w:rsidRPr="00F44542">
        <w:t>ship’s service loads.</w:t>
      </w:r>
    </w:p>
    <w:p w14:paraId="7FD77EA9" w14:textId="3FA086EB" w:rsidR="00BF0C0E" w:rsidRPr="00F44542" w:rsidRDefault="00D04CF9" w:rsidP="00626AC3">
      <w:r w:rsidRPr="00F44542">
        <w:t xml:space="preserve">The </w:t>
      </w:r>
      <w:r w:rsidR="00BF0C0E" w:rsidRPr="00F44542">
        <w:t>arrangement gives three main operating modes</w:t>
      </w:r>
      <w:r w:rsidR="001B1CC2" w:rsidRPr="00F44542">
        <w:t xml:space="preserve">, shown in </w:t>
      </w:r>
      <w:r w:rsidR="001B1CC2" w:rsidRPr="00F44542">
        <w:fldChar w:fldCharType="begin"/>
      </w:r>
      <w:r w:rsidR="001B1CC2" w:rsidRPr="00F44542">
        <w:instrText xml:space="preserve"> REF _Ref440196934 </w:instrText>
      </w:r>
      <w:r w:rsidR="009C24A6" w:rsidRPr="00F44542">
        <w:instrText xml:space="preserve"> \* MERGEFORMAT </w:instrText>
      </w:r>
      <w:r w:rsidR="001B1CC2" w:rsidRPr="00F44542">
        <w:fldChar w:fldCharType="separate"/>
      </w:r>
      <w:r w:rsidR="00EC7368" w:rsidRPr="00EC7368">
        <w:t xml:space="preserve">Figure </w:t>
      </w:r>
      <w:r w:rsidR="00EC7368" w:rsidRPr="00EC7368">
        <w:rPr>
          <w:noProof/>
        </w:rPr>
        <w:t>2</w:t>
      </w:r>
      <w:r w:rsidR="001B1CC2" w:rsidRPr="00F44542">
        <w:fldChar w:fldCharType="end"/>
      </w:r>
      <w:r w:rsidR="00BF0C0E" w:rsidRPr="00F44542">
        <w:t>:</w:t>
      </w:r>
    </w:p>
    <w:p w14:paraId="0EA2B138" w14:textId="0350603B" w:rsidR="00BF0C0E" w:rsidRPr="00F44542" w:rsidRDefault="00F75C69" w:rsidP="00626AC3">
      <w:pPr>
        <w:pStyle w:val="ListParagraph"/>
        <w:numPr>
          <w:ilvl w:val="0"/>
          <w:numId w:val="8"/>
        </w:numPr>
      </w:pPr>
      <w:r w:rsidRPr="00F44542">
        <w:t>Full Speed: MDE fully driving propeller</w:t>
      </w:r>
      <w:r w:rsidR="006772A1" w:rsidRPr="00F44542">
        <w:t>;</w:t>
      </w:r>
      <w:r w:rsidRPr="00F44542">
        <w:t xml:space="preserve"> HM off</w:t>
      </w:r>
      <w:r w:rsidR="006772A1" w:rsidRPr="00F44542">
        <w:t>;</w:t>
      </w:r>
      <w:r w:rsidRPr="00F44542">
        <w:t xml:space="preserve"> DGs providing</w:t>
      </w:r>
      <w:r w:rsidR="006772A1" w:rsidRPr="00F44542">
        <w:t xml:space="preserve"> ship’s service electric </w:t>
      </w:r>
      <w:r w:rsidRPr="00F44542">
        <w:t>loads</w:t>
      </w:r>
    </w:p>
    <w:p w14:paraId="0DC5E2D4" w14:textId="2D6475B4" w:rsidR="00F75C69" w:rsidRPr="00F44542" w:rsidRDefault="00F75C69" w:rsidP="00626AC3">
      <w:pPr>
        <w:pStyle w:val="ListParagraph"/>
        <w:numPr>
          <w:ilvl w:val="0"/>
          <w:numId w:val="8"/>
        </w:numPr>
      </w:pPr>
      <w:r w:rsidRPr="00F44542">
        <w:t>Diesel Cruise: MDE driving propeller and HM; HM in PTO (generator); DGs off (depending on load)</w:t>
      </w:r>
    </w:p>
    <w:p w14:paraId="6B2628B5" w14:textId="32A5C148" w:rsidR="00F75C69" w:rsidRPr="00F44542" w:rsidRDefault="00F75C69" w:rsidP="00626AC3">
      <w:pPr>
        <w:pStyle w:val="ListParagraph"/>
        <w:numPr>
          <w:ilvl w:val="0"/>
          <w:numId w:val="8"/>
        </w:numPr>
      </w:pPr>
      <w:r w:rsidRPr="00F44542">
        <w:t>Electric Cruise</w:t>
      </w:r>
      <w:r w:rsidR="006772A1" w:rsidRPr="00F44542">
        <w:t>: MDE off; HM driving propeller</w:t>
      </w:r>
      <w:r w:rsidR="007A6342" w:rsidRPr="00F44542">
        <w:t xml:space="preserve"> (PTI)</w:t>
      </w:r>
      <w:r w:rsidR="006772A1" w:rsidRPr="00F44542">
        <w:t>;  DGs providing all electric loads</w:t>
      </w:r>
    </w:p>
    <w:p w14:paraId="2CA424D2" w14:textId="77777777" w:rsidR="00674D93" w:rsidRPr="00F44542" w:rsidRDefault="00674D93" w:rsidP="00626AC3"/>
    <w:p w14:paraId="2F8DFBDA" w14:textId="3318A4B2" w:rsidR="0013688B" w:rsidRPr="00F44542" w:rsidRDefault="009D4BA4" w:rsidP="00626AC3">
      <w:pPr>
        <w:pStyle w:val="Figure"/>
      </w:pPr>
      <w:r w:rsidRPr="00F44542">
        <w:lastRenderedPageBreak/>
        <w:drawing>
          <wp:inline distT="0" distB="0" distL="0" distR="0" wp14:anchorId="3DE1D458" wp14:editId="37D68B47">
            <wp:extent cx="5760000" cy="24095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2409531"/>
                    </a:xfrm>
                    <a:prstGeom prst="rect">
                      <a:avLst/>
                    </a:prstGeom>
                    <a:noFill/>
                    <a:ln>
                      <a:noFill/>
                    </a:ln>
                  </pic:spPr>
                </pic:pic>
              </a:graphicData>
            </a:graphic>
          </wp:inline>
        </w:drawing>
      </w:r>
    </w:p>
    <w:p w14:paraId="51BAA447" w14:textId="2A76B8C5" w:rsidR="0013688B" w:rsidRPr="00F44542" w:rsidRDefault="0013688B" w:rsidP="008E3A0D">
      <w:pPr>
        <w:pStyle w:val="Caption"/>
      </w:pPr>
      <w:bookmarkStart w:id="1" w:name="_Ref440196934"/>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2</w:t>
      </w:r>
      <w:r w:rsidR="00CA4C92">
        <w:rPr>
          <w:noProof/>
        </w:rPr>
        <w:fldChar w:fldCharType="end"/>
      </w:r>
      <w:bookmarkEnd w:id="1"/>
      <w:r w:rsidRPr="00F44542">
        <w:t xml:space="preserve">: </w:t>
      </w:r>
      <w:r w:rsidR="00EE52FC" w:rsidRPr="00F44542">
        <w:t xml:space="preserve">CODLOD </w:t>
      </w:r>
      <w:r w:rsidR="001B1CC2" w:rsidRPr="00F44542">
        <w:t>Hybrid Power &amp; Propulsion Operating Modes</w:t>
      </w:r>
    </w:p>
    <w:p w14:paraId="2CF48A03" w14:textId="393468C4" w:rsidR="005D0B05" w:rsidRPr="00F44542" w:rsidRDefault="006772A1" w:rsidP="00626AC3">
      <w:r w:rsidRPr="00F44542">
        <w:t>The chosen operating mode primarily depends on a combination of the desired ship spee</w:t>
      </w:r>
      <w:r w:rsidR="00251776" w:rsidRPr="00F44542">
        <w:t>d and the total electrical load demand on the system.</w:t>
      </w:r>
      <w:r w:rsidR="005D0B05" w:rsidRPr="00F44542">
        <w:t xml:space="preserve"> </w:t>
      </w:r>
      <w:r w:rsidR="00CE3F13" w:rsidRPr="00F44542">
        <w:t>The actual design of the system</w:t>
      </w:r>
      <w:r w:rsidR="005D0B05" w:rsidRPr="00F44542">
        <w:t xml:space="preserve"> and the ratings of the prime movers requires careful consideration, and whilst this is not the subject of this paper, it is important to note some of the factors that influence this decision. </w:t>
      </w:r>
      <w:r w:rsidR="00CE3F13" w:rsidRPr="00F44542">
        <w:t>Important factors include</w:t>
      </w:r>
      <w:r w:rsidR="005D0B05" w:rsidRPr="00F44542">
        <w:t xml:space="preserve"> the total required propulsion power and the desired ‘efficient’ electric propulsion load, the potential maximum electrical load (including sufficient through life design margin), and the </w:t>
      </w:r>
      <w:r w:rsidR="00EE52FC" w:rsidRPr="00F44542">
        <w:t xml:space="preserve">often </w:t>
      </w:r>
      <w:r w:rsidR="005D0B05" w:rsidRPr="00F44542">
        <w:t xml:space="preserve">critical factor: the availability of commercial off-the-shelf products </w:t>
      </w:r>
      <w:r w:rsidR="00077346" w:rsidRPr="00F44542">
        <w:t>that determine cost</w:t>
      </w:r>
      <w:r w:rsidR="005D0B05" w:rsidRPr="00F44542">
        <w:t>.</w:t>
      </w:r>
    </w:p>
    <w:p w14:paraId="2566F61C" w14:textId="3A00336F" w:rsidR="00F479EA" w:rsidRPr="00F44542" w:rsidRDefault="00CE3F13" w:rsidP="00626AC3">
      <w:r w:rsidRPr="00F44542">
        <w:t>N</w:t>
      </w:r>
      <w:r w:rsidR="00F479EA" w:rsidRPr="00F44542">
        <w:t xml:space="preserve">ote that an </w:t>
      </w:r>
      <w:r w:rsidRPr="00F44542">
        <w:t>i</w:t>
      </w:r>
      <w:r w:rsidR="00F479EA" w:rsidRPr="00F44542">
        <w:t xml:space="preserve">nduction machine is used for the </w:t>
      </w:r>
      <w:r w:rsidRPr="00F44542">
        <w:t>h</w:t>
      </w:r>
      <w:r w:rsidR="00F479EA" w:rsidRPr="00F44542">
        <w:t xml:space="preserve">ybrid </w:t>
      </w:r>
      <w:r w:rsidRPr="00F44542">
        <w:t>m</w:t>
      </w:r>
      <w:r w:rsidR="00F479EA" w:rsidRPr="00F44542">
        <w:t xml:space="preserve">achine; this is </w:t>
      </w:r>
      <w:r w:rsidRPr="00F44542">
        <w:t>because when</w:t>
      </w:r>
      <w:r w:rsidR="00F479EA" w:rsidRPr="00F44542">
        <w:t xml:space="preserve"> coupled to a power electronic converter it can seamlessly serve as both a motor and a generator</w:t>
      </w:r>
      <w:r w:rsidR="000F27FD" w:rsidRPr="00F44542">
        <w:t>, it is inherently reliable, and it is well-proven technology</w:t>
      </w:r>
      <w:r w:rsidR="00F479EA" w:rsidRPr="00F44542">
        <w:t xml:space="preserve">. The converter is able to provide both excitation for the generation function, and accurate control of both the voltage and the frequency of the waveform across a wide range of motor speeds. The use of an </w:t>
      </w:r>
      <w:r w:rsidRPr="00F44542">
        <w:t>a</w:t>
      </w:r>
      <w:r w:rsidR="00F479EA" w:rsidRPr="00F44542">
        <w:t>ctive-</w:t>
      </w:r>
      <w:r w:rsidRPr="00F44542">
        <w:t>f</w:t>
      </w:r>
      <w:r w:rsidR="00F479EA" w:rsidRPr="00F44542">
        <w:t>ront-</w:t>
      </w:r>
      <w:r w:rsidRPr="00F44542">
        <w:t>e</w:t>
      </w:r>
      <w:r w:rsidR="00F479EA" w:rsidRPr="00F44542">
        <w:t xml:space="preserve">nd (AFE) converter </w:t>
      </w:r>
      <w:r w:rsidRPr="00F44542">
        <w:t>results in a very high quality generated waveform</w:t>
      </w:r>
      <w:r w:rsidR="00F479EA" w:rsidRPr="00F44542">
        <w:t xml:space="preserve"> suitable for direct connection t</w:t>
      </w:r>
      <w:r w:rsidR="00F95D43" w:rsidRPr="00F44542">
        <w:t>o the main distribution network, without the need for isolation transformers.</w:t>
      </w:r>
    </w:p>
    <w:p w14:paraId="5E7A9B35" w14:textId="02A0DBFE" w:rsidR="008E3A0D" w:rsidRPr="008E3A0D" w:rsidRDefault="00A57F0F" w:rsidP="00EC7368">
      <w:pPr>
        <w:pStyle w:val="Heading1"/>
      </w:pPr>
      <w:r>
        <w:t>Benefits and</w:t>
      </w:r>
      <w:r w:rsidR="008E3A0D" w:rsidRPr="008E3A0D">
        <w:t xml:space="preserve"> additional flexibility of a hybrid system</w:t>
      </w:r>
    </w:p>
    <w:p w14:paraId="2771C1EF" w14:textId="24B49D68" w:rsidR="00462F4A" w:rsidRPr="00F44542" w:rsidRDefault="00CE26C5" w:rsidP="00626AC3">
      <w:r w:rsidRPr="00F44542">
        <w:t>There are several major benefits to be had from adop</w:t>
      </w:r>
      <w:r w:rsidR="004021BE" w:rsidRPr="00F44542">
        <w:t>t</w:t>
      </w:r>
      <w:r w:rsidR="00251776" w:rsidRPr="00F44542">
        <w:t>ing a hybrid propulsion system</w:t>
      </w:r>
      <w:r w:rsidR="00445855" w:rsidRPr="00F44542">
        <w:t xml:space="preserve"> similar to the type </w:t>
      </w:r>
      <w:r w:rsidR="00EE52FC" w:rsidRPr="00F44542">
        <w:t>presented</w:t>
      </w:r>
      <w:r w:rsidR="00251776" w:rsidRPr="00F44542">
        <w:t>, many of which have been dis</w:t>
      </w:r>
      <w:r w:rsidR="000A3F35" w:rsidRPr="00F44542">
        <w:t>cussed before in published work</w:t>
      </w:r>
      <w:r w:rsidR="005D0B05" w:rsidRPr="00F44542">
        <w:t xml:space="preserve"> (</w:t>
      </w:r>
      <w:r w:rsidR="00EC7368">
        <w:t>Buckingham, 2013 &amp; 2014</w:t>
      </w:r>
      <w:r w:rsidR="00CE3F13" w:rsidRPr="00F44542">
        <w:t>).</w:t>
      </w:r>
    </w:p>
    <w:p w14:paraId="1605CAD7" w14:textId="7A38F574" w:rsidR="000A3F35" w:rsidRPr="00F44542" w:rsidRDefault="000A3F35" w:rsidP="00626AC3">
      <w:r w:rsidRPr="00F44542">
        <w:t xml:space="preserve">Modern </w:t>
      </w:r>
      <w:r w:rsidR="00CE3F13" w:rsidRPr="00F44542">
        <w:t>N</w:t>
      </w:r>
      <w:r w:rsidRPr="00F44542">
        <w:t xml:space="preserve">avies often do not have the luxury of multiple ships to carry out </w:t>
      </w:r>
      <w:r w:rsidR="00CE3F13" w:rsidRPr="00F44542">
        <w:t>the</w:t>
      </w:r>
      <w:r w:rsidRPr="00F44542">
        <w:t xml:space="preserve"> roles required to meet today’s evolving </w:t>
      </w:r>
      <w:r w:rsidR="00EE52FC" w:rsidRPr="00F44542">
        <w:t>needs</w:t>
      </w:r>
      <w:r w:rsidRPr="00F44542">
        <w:t>, and instead are looking for multi-role platforms that can conduct a wide range of operations. This is especially true of non-fron</w:t>
      </w:r>
      <w:r w:rsidR="00CE3F13" w:rsidRPr="00F44542">
        <w:t>t</w:t>
      </w:r>
      <w:r w:rsidRPr="00F44542">
        <w:t xml:space="preserve">line auxiliary and support ships. Typical uses can vary from stores and fuel replenishment, to humanitarian aid provision and medical/hospital support. This often means that an auxiliary ship can have a wide range of mission profiles ranging from fast transit and </w:t>
      </w:r>
      <w:r w:rsidR="00CE3F13" w:rsidRPr="00F44542">
        <w:t>r</w:t>
      </w:r>
      <w:r w:rsidRPr="00F44542">
        <w:t>eplenishment-</w:t>
      </w:r>
      <w:r w:rsidR="00CE3F13" w:rsidRPr="00F44542">
        <w:t>a</w:t>
      </w:r>
      <w:r w:rsidRPr="00F44542">
        <w:t>t-</w:t>
      </w:r>
      <w:r w:rsidR="00CE3F13" w:rsidRPr="00F44542">
        <w:t>s</w:t>
      </w:r>
      <w:r w:rsidRPr="00F44542">
        <w:t xml:space="preserve">ea (RAS), to harbour operation and even a </w:t>
      </w:r>
      <w:r w:rsidR="00B7694E" w:rsidRPr="00F44542">
        <w:t xml:space="preserve">‘mother-ship’ </w:t>
      </w:r>
      <w:r w:rsidRPr="00F44542">
        <w:t>role for other vessels in the fleet.</w:t>
      </w:r>
    </w:p>
    <w:p w14:paraId="38E031BC" w14:textId="7E460C87" w:rsidR="00EC7368" w:rsidRPr="00626AC3" w:rsidRDefault="000A3F35" w:rsidP="00626AC3">
      <w:pPr>
        <w:rPr>
          <w:color w:val="auto"/>
        </w:rPr>
      </w:pPr>
      <w:r w:rsidRPr="00F44542">
        <w:t>A hybrid system provides greater flexibility against a variable mission profile, compared to a conventional mechanical propulsion system, but with potentially lower initial costs (</w:t>
      </w:r>
      <w:r w:rsidR="00582840" w:rsidRPr="00F44542">
        <w:t>u</w:t>
      </w:r>
      <w:r w:rsidR="00480BD0" w:rsidRPr="00F44542">
        <w:t xml:space="preserve">ltimate </w:t>
      </w:r>
      <w:r w:rsidR="00CE3F13" w:rsidRPr="00F44542">
        <w:t>p</w:t>
      </w:r>
      <w:r w:rsidR="00480BD0" w:rsidRPr="00F44542">
        <w:t xml:space="preserve">urchase </w:t>
      </w:r>
      <w:r w:rsidR="00CE3F13" w:rsidRPr="00F44542">
        <w:t>c</w:t>
      </w:r>
      <w:r w:rsidR="00480BD0" w:rsidRPr="00F44542">
        <w:t>ost</w:t>
      </w:r>
      <w:r w:rsidR="00CE3F13" w:rsidRPr="00F44542">
        <w:t xml:space="preserve"> – </w:t>
      </w:r>
      <w:r w:rsidRPr="00F44542">
        <w:t xml:space="preserve">UPC) </w:t>
      </w:r>
      <w:r w:rsidR="005D0B05" w:rsidRPr="00F44542">
        <w:t xml:space="preserve">of equipment </w:t>
      </w:r>
      <w:r w:rsidRPr="00F44542">
        <w:t>compared to an IFEP solution.</w:t>
      </w:r>
      <w:r w:rsidR="005D0B05" w:rsidRPr="00F44542">
        <w:t xml:space="preserve"> This increa</w:t>
      </w:r>
      <w:r w:rsidR="00445855" w:rsidRPr="00F44542">
        <w:t>sed flexibility has been shown</w:t>
      </w:r>
      <w:r w:rsidR="005D0B05" w:rsidRPr="00F44542">
        <w:t xml:space="preserve"> to directly impact the efficiency of the ships</w:t>
      </w:r>
      <w:r w:rsidR="000E2E9D" w:rsidRPr="00F44542">
        <w:t>, saving fuel and offering</w:t>
      </w:r>
      <w:r w:rsidR="005D0B05" w:rsidRPr="00F44542">
        <w:t xml:space="preserve"> a reduction in the TLC of the platform.</w:t>
      </w:r>
      <w:r w:rsidR="00480BD0" w:rsidRPr="00F44542">
        <w:t xml:space="preserve"> </w:t>
      </w:r>
      <w:r w:rsidR="005D0B05" w:rsidRPr="00F44542">
        <w:t xml:space="preserve">Coupled to this increased operational flexibility is </w:t>
      </w:r>
      <w:r w:rsidR="00DF22FF" w:rsidRPr="00F44542">
        <w:t>the design flexibility offered by a hybrid system</w:t>
      </w:r>
      <w:r w:rsidR="00980EBF" w:rsidRPr="00F44542">
        <w:t xml:space="preserve"> and the ability</w:t>
      </w:r>
      <w:r w:rsidR="00DF22FF" w:rsidRPr="00F44542">
        <w:t xml:space="preserve"> to reduce the overall number of prime movers required</w:t>
      </w:r>
      <w:r w:rsidR="00480BD0" w:rsidRPr="00F44542">
        <w:t>.</w:t>
      </w:r>
      <w:r w:rsidR="00CE3F13" w:rsidRPr="00F44542">
        <w:rPr>
          <w:color w:val="auto"/>
        </w:rPr>
        <w:t xml:space="preserve"> </w:t>
      </w:r>
      <w:r w:rsidR="00980EBF" w:rsidRPr="00F44542">
        <w:rPr>
          <w:color w:val="auto"/>
        </w:rPr>
        <w:t>O</w:t>
      </w:r>
      <w:r w:rsidR="00CE3F13" w:rsidRPr="00F44542">
        <w:rPr>
          <w:color w:val="auto"/>
        </w:rPr>
        <w:t>nce the decision has been made to go for a hybrid propulsion system additional flexibility can be incorporated.</w:t>
      </w:r>
    </w:p>
    <w:p w14:paraId="7B00A434" w14:textId="3B3D7F09" w:rsidR="008E3A0D" w:rsidRDefault="00646D68" w:rsidP="00EC7368">
      <w:pPr>
        <w:pStyle w:val="Heading2"/>
      </w:pPr>
      <w:r>
        <w:t>Shore supply frequency c</w:t>
      </w:r>
      <w:r w:rsidR="000F27FD" w:rsidRPr="008E3A0D">
        <w:t>onverter</w:t>
      </w:r>
    </w:p>
    <w:p w14:paraId="1A391FB4" w14:textId="52BD1F95" w:rsidR="00582840" w:rsidRPr="00F44542" w:rsidRDefault="00903EBF" w:rsidP="00626AC3">
      <w:pPr>
        <w:rPr>
          <w:lang w:eastAsia="en-GB"/>
        </w:rPr>
      </w:pPr>
      <w:r w:rsidRPr="00F44542">
        <w:rPr>
          <w:lang w:eastAsia="en-GB"/>
        </w:rPr>
        <w:t xml:space="preserve">With the addition of a suitable sized </w:t>
      </w:r>
      <w:r w:rsidR="00077346" w:rsidRPr="00F44542">
        <w:rPr>
          <w:lang w:eastAsia="en-GB"/>
        </w:rPr>
        <w:t>c</w:t>
      </w:r>
      <w:r w:rsidRPr="00F44542">
        <w:rPr>
          <w:lang w:eastAsia="en-GB"/>
        </w:rPr>
        <w:t xml:space="preserve">onverter for the </w:t>
      </w:r>
      <w:r w:rsidR="00077346" w:rsidRPr="00F44542">
        <w:rPr>
          <w:lang w:eastAsia="en-GB"/>
        </w:rPr>
        <w:t>h</w:t>
      </w:r>
      <w:r w:rsidRPr="00F44542">
        <w:rPr>
          <w:lang w:eastAsia="en-GB"/>
        </w:rPr>
        <w:t>ybrid PTI/PTO system, an option exists to make use of this as a frequency changer for the shore supply to the ship.</w:t>
      </w:r>
      <w:r w:rsidR="00447581" w:rsidRPr="00F44542">
        <w:rPr>
          <w:lang w:eastAsia="en-GB"/>
        </w:rPr>
        <w:t xml:space="preserve"> An example from a recent project is of a</w:t>
      </w:r>
      <w:r w:rsidR="00B63029" w:rsidRPr="00F44542">
        <w:rPr>
          <w:lang w:eastAsia="en-GB"/>
        </w:rPr>
        <w:t xml:space="preserve"> ship </w:t>
      </w:r>
      <w:r w:rsidR="00447581" w:rsidRPr="00F44542">
        <w:rPr>
          <w:lang w:eastAsia="en-GB"/>
        </w:rPr>
        <w:t xml:space="preserve">that </w:t>
      </w:r>
      <w:r w:rsidR="00B63029" w:rsidRPr="00F44542">
        <w:rPr>
          <w:lang w:eastAsia="en-GB"/>
        </w:rPr>
        <w:t xml:space="preserve">uses a 50Hz power system on-board, however many of the ports the ship may visit use a more conventional 60Hz shore supply (as used by the </w:t>
      </w:r>
      <w:r w:rsidR="00DB09B5" w:rsidRPr="00F44542">
        <w:rPr>
          <w:lang w:eastAsia="en-GB"/>
        </w:rPr>
        <w:t>majority of Naval ships). The h</w:t>
      </w:r>
      <w:r w:rsidR="00B63029" w:rsidRPr="00F44542">
        <w:rPr>
          <w:lang w:eastAsia="en-GB"/>
        </w:rPr>
        <w:t xml:space="preserve">ybrid converter in this case can be used as a </w:t>
      </w:r>
      <w:r w:rsidR="00077346" w:rsidRPr="00F44542">
        <w:rPr>
          <w:lang w:eastAsia="en-GB"/>
        </w:rPr>
        <w:t>s</w:t>
      </w:r>
      <w:r w:rsidR="00B63029" w:rsidRPr="00F44542">
        <w:rPr>
          <w:lang w:eastAsia="en-GB"/>
        </w:rPr>
        <w:t xml:space="preserve">tatic </w:t>
      </w:r>
      <w:r w:rsidR="00077346" w:rsidRPr="00F44542">
        <w:rPr>
          <w:lang w:eastAsia="en-GB"/>
        </w:rPr>
        <w:t>f</w:t>
      </w:r>
      <w:r w:rsidR="00B63029" w:rsidRPr="00F44542">
        <w:rPr>
          <w:lang w:eastAsia="en-GB"/>
        </w:rPr>
        <w:t xml:space="preserve">requency </w:t>
      </w:r>
      <w:r w:rsidR="00077346" w:rsidRPr="00F44542">
        <w:rPr>
          <w:lang w:eastAsia="en-GB"/>
        </w:rPr>
        <w:t>c</w:t>
      </w:r>
      <w:r w:rsidR="00B63029" w:rsidRPr="00F44542">
        <w:rPr>
          <w:lang w:eastAsia="en-GB"/>
        </w:rPr>
        <w:t>onverter</w:t>
      </w:r>
      <w:r w:rsidR="00430C03" w:rsidRPr="00F44542">
        <w:rPr>
          <w:lang w:eastAsia="en-GB"/>
        </w:rPr>
        <w:t xml:space="preserve"> (SFC)</w:t>
      </w:r>
      <w:r w:rsidR="00B63029" w:rsidRPr="00F44542">
        <w:rPr>
          <w:lang w:eastAsia="en-GB"/>
        </w:rPr>
        <w:t xml:space="preserve"> on board allowing the seamless import of power from shore. A simplified </w:t>
      </w:r>
      <w:r w:rsidR="00222075" w:rsidRPr="00F44542">
        <w:rPr>
          <w:lang w:eastAsia="en-GB"/>
        </w:rPr>
        <w:t xml:space="preserve">indicative </w:t>
      </w:r>
      <w:r w:rsidR="00DD5885" w:rsidRPr="00F44542">
        <w:rPr>
          <w:lang w:eastAsia="en-GB"/>
        </w:rPr>
        <w:t>SLD</w:t>
      </w:r>
      <w:r w:rsidR="00B63029" w:rsidRPr="00F44542">
        <w:rPr>
          <w:lang w:eastAsia="en-GB"/>
        </w:rPr>
        <w:t xml:space="preserve"> of this solution can be seen in </w:t>
      </w:r>
      <w:r w:rsidR="00037E79" w:rsidRPr="00F44542">
        <w:rPr>
          <w:lang w:eastAsia="en-GB"/>
        </w:rPr>
        <w:fldChar w:fldCharType="begin"/>
      </w:r>
      <w:r w:rsidR="00037E79" w:rsidRPr="00F44542">
        <w:rPr>
          <w:lang w:eastAsia="en-GB"/>
        </w:rPr>
        <w:instrText xml:space="preserve"> REF _Ref440197844 </w:instrText>
      </w:r>
      <w:r w:rsidR="009C24A6" w:rsidRPr="00F44542">
        <w:rPr>
          <w:lang w:eastAsia="en-GB"/>
        </w:rPr>
        <w:instrText xml:space="preserve"> \* MERGEFORMAT </w:instrText>
      </w:r>
      <w:r w:rsidR="00037E79" w:rsidRPr="00F44542">
        <w:rPr>
          <w:lang w:eastAsia="en-GB"/>
        </w:rPr>
        <w:fldChar w:fldCharType="separate"/>
      </w:r>
      <w:r w:rsidR="00EC7368" w:rsidRPr="00EC7368">
        <w:t xml:space="preserve">Figure </w:t>
      </w:r>
      <w:r w:rsidR="00EC7368" w:rsidRPr="00EC7368">
        <w:rPr>
          <w:noProof/>
        </w:rPr>
        <w:t>3</w:t>
      </w:r>
      <w:r w:rsidR="00037E79" w:rsidRPr="00F44542">
        <w:rPr>
          <w:lang w:eastAsia="en-GB"/>
        </w:rPr>
        <w:fldChar w:fldCharType="end"/>
      </w:r>
      <w:r w:rsidR="00B63029" w:rsidRPr="00F44542">
        <w:rPr>
          <w:lang w:eastAsia="en-GB"/>
        </w:rPr>
        <w:t>.</w:t>
      </w:r>
      <w:r w:rsidR="001A0569" w:rsidRPr="00F44542">
        <w:rPr>
          <w:lang w:eastAsia="en-GB"/>
        </w:rPr>
        <w:t xml:space="preserve"> As well as allowing connection of a 50Hz ship to a 60Hz </w:t>
      </w:r>
      <w:r w:rsidR="001A0569" w:rsidRPr="00F44542">
        <w:rPr>
          <w:lang w:eastAsia="en-GB"/>
        </w:rPr>
        <w:lastRenderedPageBreak/>
        <w:t>shore supply, this sort of arrangement would also allow a more conventional 60Hz ship to export power to the shore (50Hz) during disaster relief activities.</w:t>
      </w:r>
    </w:p>
    <w:p w14:paraId="3C71662E" w14:textId="77777777" w:rsidR="00447581" w:rsidRPr="00F44542" w:rsidRDefault="00447581" w:rsidP="00626AC3">
      <w:pPr>
        <w:rPr>
          <w:lang w:eastAsia="en-GB"/>
        </w:rPr>
      </w:pPr>
    </w:p>
    <w:p w14:paraId="6D92C30E" w14:textId="4A9B36E0" w:rsidR="00430C03" w:rsidRPr="00F44542" w:rsidRDefault="009D4BA4" w:rsidP="00626AC3">
      <w:pPr>
        <w:pStyle w:val="Figure"/>
        <w:rPr>
          <w:color w:val="auto"/>
        </w:rPr>
      </w:pPr>
      <w:r w:rsidRPr="00F44542">
        <w:drawing>
          <wp:inline distT="0" distB="0" distL="0" distR="0" wp14:anchorId="211F3361" wp14:editId="130B1739">
            <wp:extent cx="2664827" cy="3240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4827" cy="3240000"/>
                    </a:xfrm>
                    <a:prstGeom prst="rect">
                      <a:avLst/>
                    </a:prstGeom>
                    <a:noFill/>
                    <a:ln>
                      <a:noFill/>
                    </a:ln>
                  </pic:spPr>
                </pic:pic>
              </a:graphicData>
            </a:graphic>
          </wp:inline>
        </w:drawing>
      </w:r>
    </w:p>
    <w:p w14:paraId="3251F1A3" w14:textId="6862B6A5" w:rsidR="00430C03" w:rsidRPr="008E3A0D" w:rsidRDefault="00430C03" w:rsidP="008E3A0D">
      <w:pPr>
        <w:pStyle w:val="Caption"/>
      </w:pPr>
      <w:bookmarkStart w:id="2" w:name="_Ref440197844"/>
      <w:r w:rsidRPr="008E3A0D">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3</w:t>
      </w:r>
      <w:r w:rsidR="00CA4C92">
        <w:rPr>
          <w:noProof/>
        </w:rPr>
        <w:fldChar w:fldCharType="end"/>
      </w:r>
      <w:bookmarkEnd w:id="2"/>
      <w:r w:rsidRPr="008E3A0D">
        <w:t>: Hybrid Converter as SFC</w:t>
      </w:r>
      <w:r w:rsidR="00222075" w:rsidRPr="008E3A0D">
        <w:t xml:space="preserve"> (Indicative)</w:t>
      </w:r>
    </w:p>
    <w:p w14:paraId="10CEA887" w14:textId="773A32B6" w:rsidR="000F27FD" w:rsidRPr="008E3A0D" w:rsidRDefault="00646D68" w:rsidP="00EC7368">
      <w:pPr>
        <w:pStyle w:val="Heading2"/>
      </w:pPr>
      <w:r>
        <w:t>Shock-r</w:t>
      </w:r>
      <w:r w:rsidR="000F27FD" w:rsidRPr="008E3A0D">
        <w:t xml:space="preserve">ated </w:t>
      </w:r>
      <w:r>
        <w:t>e</w:t>
      </w:r>
      <w:r w:rsidR="00980EBF" w:rsidRPr="008E3A0D">
        <w:t xml:space="preserve">lectric </w:t>
      </w:r>
      <w:r>
        <w:t>limp home m</w:t>
      </w:r>
      <w:r w:rsidR="000F27FD" w:rsidRPr="008E3A0D">
        <w:t>ode</w:t>
      </w:r>
    </w:p>
    <w:p w14:paraId="4CE9AE39" w14:textId="26CC6F75" w:rsidR="00B606DA" w:rsidRDefault="008317D3" w:rsidP="00626AC3">
      <w:pPr>
        <w:rPr>
          <w:lang w:eastAsia="en-GB"/>
        </w:rPr>
      </w:pPr>
      <w:r w:rsidRPr="00F44542">
        <w:rPr>
          <w:lang w:eastAsia="en-GB"/>
        </w:rPr>
        <w:t>The advanced hybrid systems presented are also suitable for f</w:t>
      </w:r>
      <w:r w:rsidR="00077346" w:rsidRPr="00F44542">
        <w:rPr>
          <w:lang w:eastAsia="en-GB"/>
        </w:rPr>
        <w:t>ront</w:t>
      </w:r>
      <w:r w:rsidR="002F40C0" w:rsidRPr="00F44542">
        <w:rPr>
          <w:lang w:eastAsia="en-GB"/>
        </w:rPr>
        <w:t>line Naval ships</w:t>
      </w:r>
      <w:r w:rsidRPr="00F44542">
        <w:rPr>
          <w:lang w:eastAsia="en-GB"/>
        </w:rPr>
        <w:t>, which</w:t>
      </w:r>
      <w:r w:rsidR="002F40C0" w:rsidRPr="00F44542">
        <w:rPr>
          <w:lang w:eastAsia="en-GB"/>
        </w:rPr>
        <w:t xml:space="preserve"> typically demand </w:t>
      </w:r>
      <w:r w:rsidR="00077346" w:rsidRPr="00F44542">
        <w:rPr>
          <w:lang w:eastAsia="en-GB"/>
        </w:rPr>
        <w:t>s</w:t>
      </w:r>
      <w:r w:rsidR="002F40C0" w:rsidRPr="00F44542">
        <w:rPr>
          <w:lang w:eastAsia="en-GB"/>
        </w:rPr>
        <w:t>hock-</w:t>
      </w:r>
      <w:r w:rsidR="00077346" w:rsidRPr="00F44542">
        <w:rPr>
          <w:lang w:eastAsia="en-GB"/>
        </w:rPr>
        <w:t>r</w:t>
      </w:r>
      <w:r w:rsidR="002F40C0" w:rsidRPr="00F44542">
        <w:rPr>
          <w:lang w:eastAsia="en-GB"/>
        </w:rPr>
        <w:t xml:space="preserve">ated equipment for their propulsion systems, however adding shock-rating to an entire </w:t>
      </w:r>
      <w:proofErr w:type="spellStart"/>
      <w:r w:rsidR="002F40C0" w:rsidRPr="00F44542">
        <w:rPr>
          <w:lang w:eastAsia="en-GB"/>
        </w:rPr>
        <w:t>shaftline</w:t>
      </w:r>
      <w:proofErr w:type="spellEnd"/>
      <w:r w:rsidR="002F40C0" w:rsidRPr="00F44542">
        <w:rPr>
          <w:lang w:eastAsia="en-GB"/>
        </w:rPr>
        <w:t xml:space="preserve"> is an expensive option. This would be especially true for a </w:t>
      </w:r>
      <w:r w:rsidR="00077346" w:rsidRPr="00F44542">
        <w:rPr>
          <w:lang w:eastAsia="en-GB"/>
        </w:rPr>
        <w:t>h</w:t>
      </w:r>
      <w:r w:rsidR="002F40C0" w:rsidRPr="00F44542">
        <w:rPr>
          <w:lang w:eastAsia="en-GB"/>
        </w:rPr>
        <w:t xml:space="preserve">ybrid system if both the electrical and mechanical propulsion </w:t>
      </w:r>
      <w:r w:rsidR="00627F87" w:rsidRPr="00F44542">
        <w:rPr>
          <w:lang w:eastAsia="en-GB"/>
        </w:rPr>
        <w:t xml:space="preserve">systems </w:t>
      </w:r>
      <w:r w:rsidR="002F40C0" w:rsidRPr="00F44542">
        <w:rPr>
          <w:lang w:eastAsia="en-GB"/>
        </w:rPr>
        <w:t>required shock ha</w:t>
      </w:r>
      <w:r w:rsidR="00FA4CE7" w:rsidRPr="00F44542">
        <w:rPr>
          <w:lang w:eastAsia="en-GB"/>
        </w:rPr>
        <w:t xml:space="preserve">rdening. An alternative option </w:t>
      </w:r>
      <w:r w:rsidR="002F40C0" w:rsidRPr="00F44542">
        <w:rPr>
          <w:lang w:eastAsia="en-GB"/>
        </w:rPr>
        <w:t>is to only shock harden the electric</w:t>
      </w:r>
      <w:r w:rsidR="00077346" w:rsidRPr="00F44542">
        <w:rPr>
          <w:lang w:eastAsia="en-GB"/>
        </w:rPr>
        <w:t>al</w:t>
      </w:r>
      <w:r w:rsidR="002F40C0" w:rsidRPr="00F44542">
        <w:rPr>
          <w:lang w:eastAsia="en-GB"/>
        </w:rPr>
        <w:t xml:space="preserve"> machine and converter</w:t>
      </w:r>
      <w:r w:rsidR="001A0569" w:rsidRPr="00F44542">
        <w:rPr>
          <w:lang w:eastAsia="en-GB"/>
        </w:rPr>
        <w:t>, along with another generator(s)</w:t>
      </w:r>
      <w:r w:rsidR="002F40C0" w:rsidRPr="00F44542">
        <w:rPr>
          <w:lang w:eastAsia="en-GB"/>
        </w:rPr>
        <w:t xml:space="preserve">. </w:t>
      </w:r>
      <w:r w:rsidR="00430C03" w:rsidRPr="00F44542">
        <w:rPr>
          <w:lang w:eastAsia="en-GB"/>
        </w:rPr>
        <w:t>This greatly reduces the cost and burden of a complete shock hardened propulsion system, whilst providing a</w:t>
      </w:r>
      <w:r w:rsidR="00FA4CE7" w:rsidRPr="00F44542">
        <w:rPr>
          <w:lang w:eastAsia="en-GB"/>
        </w:rPr>
        <w:t>n</w:t>
      </w:r>
      <w:r w:rsidR="00430C03" w:rsidRPr="00F44542">
        <w:rPr>
          <w:lang w:eastAsia="en-GB"/>
        </w:rPr>
        <w:t xml:space="preserve"> </w:t>
      </w:r>
      <w:r w:rsidR="00FA4CE7" w:rsidRPr="00F44542">
        <w:rPr>
          <w:lang w:eastAsia="en-GB"/>
        </w:rPr>
        <w:t xml:space="preserve">electric </w:t>
      </w:r>
      <w:r w:rsidR="00430C03" w:rsidRPr="00F44542">
        <w:rPr>
          <w:lang w:eastAsia="en-GB"/>
        </w:rPr>
        <w:t xml:space="preserve">‘limp-home’ mode which can still be used following a significant shock event. A simplified </w:t>
      </w:r>
      <w:r w:rsidR="00EE3323" w:rsidRPr="00F44542">
        <w:rPr>
          <w:lang w:eastAsia="en-GB"/>
        </w:rPr>
        <w:t xml:space="preserve">indicative </w:t>
      </w:r>
      <w:r w:rsidR="00DD5885" w:rsidRPr="00F44542">
        <w:rPr>
          <w:lang w:eastAsia="en-GB"/>
        </w:rPr>
        <w:t>SLD</w:t>
      </w:r>
      <w:r w:rsidR="001A0569" w:rsidRPr="00F44542">
        <w:rPr>
          <w:lang w:eastAsia="en-GB"/>
        </w:rPr>
        <w:t xml:space="preserve"> from a recent project</w:t>
      </w:r>
      <w:r w:rsidR="00430C03" w:rsidRPr="00F44542">
        <w:rPr>
          <w:lang w:eastAsia="en-GB"/>
        </w:rPr>
        <w:t xml:space="preserve"> of this </w:t>
      </w:r>
      <w:r w:rsidR="005D0733" w:rsidRPr="00F44542">
        <w:rPr>
          <w:lang w:eastAsia="en-GB"/>
        </w:rPr>
        <w:t xml:space="preserve">option </w:t>
      </w:r>
      <w:r w:rsidR="00430C03" w:rsidRPr="00F44542">
        <w:rPr>
          <w:lang w:eastAsia="en-GB"/>
        </w:rPr>
        <w:t xml:space="preserve">can be seen in </w:t>
      </w:r>
      <w:r w:rsidR="00906791" w:rsidRPr="00F44542">
        <w:rPr>
          <w:lang w:eastAsia="en-GB"/>
        </w:rPr>
        <w:fldChar w:fldCharType="begin"/>
      </w:r>
      <w:r w:rsidR="00906791" w:rsidRPr="00F44542">
        <w:rPr>
          <w:lang w:eastAsia="en-GB"/>
        </w:rPr>
        <w:instrText xml:space="preserve"> REF _Ref440199266 </w:instrText>
      </w:r>
      <w:r w:rsidR="009C24A6" w:rsidRPr="00F44542">
        <w:rPr>
          <w:lang w:eastAsia="en-GB"/>
        </w:rPr>
        <w:instrText xml:space="preserve"> \* MERGEFORMAT </w:instrText>
      </w:r>
      <w:r w:rsidR="00906791" w:rsidRPr="00F44542">
        <w:rPr>
          <w:lang w:eastAsia="en-GB"/>
        </w:rPr>
        <w:fldChar w:fldCharType="separate"/>
      </w:r>
      <w:r w:rsidR="00EC7368" w:rsidRPr="00EC7368">
        <w:t xml:space="preserve">Figure </w:t>
      </w:r>
      <w:r w:rsidR="00EC7368" w:rsidRPr="00EC7368">
        <w:rPr>
          <w:noProof/>
        </w:rPr>
        <w:t>4</w:t>
      </w:r>
      <w:r w:rsidR="00906791" w:rsidRPr="00F44542">
        <w:rPr>
          <w:lang w:eastAsia="en-GB"/>
        </w:rPr>
        <w:fldChar w:fldCharType="end"/>
      </w:r>
      <w:r w:rsidR="00430C03" w:rsidRPr="00F44542">
        <w:rPr>
          <w:lang w:eastAsia="en-GB"/>
        </w:rPr>
        <w:t>.</w:t>
      </w:r>
    </w:p>
    <w:p w14:paraId="5B6F28A7" w14:textId="77777777" w:rsidR="009C08F1" w:rsidRPr="00F44542" w:rsidRDefault="009C08F1" w:rsidP="00626AC3">
      <w:pPr>
        <w:rPr>
          <w:lang w:eastAsia="en-GB"/>
        </w:rPr>
      </w:pPr>
    </w:p>
    <w:p w14:paraId="4C13AAE4" w14:textId="23F22416" w:rsidR="00430C03" w:rsidRPr="00F44542" w:rsidRDefault="00741DB9" w:rsidP="00626AC3">
      <w:pPr>
        <w:pStyle w:val="Figure"/>
        <w:rPr>
          <w:color w:val="auto"/>
          <w:highlight w:val="yellow"/>
        </w:rPr>
      </w:pPr>
      <w:r w:rsidRPr="00F44542">
        <w:drawing>
          <wp:inline distT="0" distB="0" distL="0" distR="0" wp14:anchorId="72CC5462" wp14:editId="5E4D4757">
            <wp:extent cx="3796432" cy="26280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6432" cy="2628000"/>
                    </a:xfrm>
                    <a:prstGeom prst="rect">
                      <a:avLst/>
                    </a:prstGeom>
                    <a:noFill/>
                    <a:ln>
                      <a:noFill/>
                    </a:ln>
                  </pic:spPr>
                </pic:pic>
              </a:graphicData>
            </a:graphic>
          </wp:inline>
        </w:drawing>
      </w:r>
    </w:p>
    <w:p w14:paraId="298FD5F4" w14:textId="41AD02EB" w:rsidR="00430C03" w:rsidRDefault="00430C03" w:rsidP="008E3A0D">
      <w:pPr>
        <w:pStyle w:val="Caption"/>
      </w:pPr>
      <w:bookmarkStart w:id="3" w:name="_Ref440199266"/>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4</w:t>
      </w:r>
      <w:r w:rsidR="00CA4C92">
        <w:rPr>
          <w:noProof/>
        </w:rPr>
        <w:fldChar w:fldCharType="end"/>
      </w:r>
      <w:bookmarkEnd w:id="3"/>
      <w:r w:rsidRPr="00F44542">
        <w:t>: Shock-rated</w:t>
      </w:r>
      <w:r w:rsidR="00CF1D14" w:rsidRPr="00F44542">
        <w:t xml:space="preserve"> Electric</w:t>
      </w:r>
      <w:r w:rsidRPr="00F44542">
        <w:t xml:space="preserve"> Limp-home mode configuration</w:t>
      </w:r>
      <w:r w:rsidR="00EE3323" w:rsidRPr="00F44542">
        <w:t xml:space="preserve"> (Indicative)</w:t>
      </w:r>
    </w:p>
    <w:p w14:paraId="527767E8" w14:textId="77777777" w:rsidR="009C08F1" w:rsidRDefault="009C08F1" w:rsidP="008E3A0D">
      <w:pPr>
        <w:pStyle w:val="Caption"/>
      </w:pPr>
    </w:p>
    <w:p w14:paraId="42555D79" w14:textId="041365AA" w:rsidR="00794E6D" w:rsidRPr="00F44542" w:rsidRDefault="00361FF7" w:rsidP="00EC7368">
      <w:pPr>
        <w:pStyle w:val="Heading1"/>
      </w:pPr>
      <w:r>
        <w:lastRenderedPageBreak/>
        <w:t xml:space="preserve">Overcoming the challenges </w:t>
      </w:r>
    </w:p>
    <w:p w14:paraId="52896119" w14:textId="158A1EF3" w:rsidR="00523AEF" w:rsidRPr="00F44542" w:rsidRDefault="00D27A5C" w:rsidP="00626AC3">
      <w:r w:rsidRPr="00F44542">
        <w:t xml:space="preserve">Whilst </w:t>
      </w:r>
      <w:r w:rsidR="00523AEF" w:rsidRPr="00F44542">
        <w:t>a hybrid p</w:t>
      </w:r>
      <w:r w:rsidR="00DD5885" w:rsidRPr="00F44542">
        <w:t>ower system offers many benefits,</w:t>
      </w:r>
      <w:r w:rsidR="00523AEF" w:rsidRPr="00F44542">
        <w:t xml:space="preserve"> it does pose some significant challenges over a conventional mechanical propulsion system with standalone generators, and even some challenges not seen on an</w:t>
      </w:r>
      <w:r w:rsidR="00DD5885" w:rsidRPr="00F44542">
        <w:t xml:space="preserve"> IFEP power and propulsion system</w:t>
      </w:r>
      <w:r w:rsidR="000F27FD" w:rsidRPr="00F44542">
        <w:t>.</w:t>
      </w:r>
    </w:p>
    <w:p w14:paraId="11D3AC51" w14:textId="45A0F15D" w:rsidR="000F27FD" w:rsidRPr="00F44542" w:rsidRDefault="00FA4CE7" w:rsidP="00EC7368">
      <w:pPr>
        <w:pStyle w:val="Heading2"/>
      </w:pPr>
      <w:r w:rsidRPr="00F44542">
        <w:t>Selection</w:t>
      </w:r>
      <w:r w:rsidR="00361FF7">
        <w:t xml:space="preserve"> of power electronic c</w:t>
      </w:r>
      <w:r w:rsidR="000F27FD" w:rsidRPr="00F44542">
        <w:t>onverter</w:t>
      </w:r>
      <w:r w:rsidRPr="00F44542">
        <w:t xml:space="preserve"> </w:t>
      </w:r>
      <w:r w:rsidR="00361FF7">
        <w:t>and management of v</w:t>
      </w:r>
      <w:r w:rsidRPr="00F44542">
        <w:t>oltage</w:t>
      </w:r>
    </w:p>
    <w:p w14:paraId="290E74A8" w14:textId="1F39EC36" w:rsidR="00FA4CE7" w:rsidRPr="00F44542" w:rsidRDefault="00B7694E" w:rsidP="00626AC3">
      <w:r w:rsidRPr="00F44542">
        <w:t xml:space="preserve">The first challenge is dealing with </w:t>
      </w:r>
      <w:r w:rsidR="00834467" w:rsidRPr="00F44542">
        <w:t>the power electronic converter</w:t>
      </w:r>
      <w:r w:rsidR="00FA4CE7" w:rsidRPr="00F44542">
        <w:t xml:space="preserve"> specification</w:t>
      </w:r>
      <w:r w:rsidR="00834467" w:rsidRPr="00F44542">
        <w:t xml:space="preserve"> for a PTI-PTO </w:t>
      </w:r>
      <w:r w:rsidR="00DD5885" w:rsidRPr="00F44542">
        <w:t>h</w:t>
      </w:r>
      <w:r w:rsidR="00834467" w:rsidRPr="00F44542">
        <w:t xml:space="preserve">ybrid </w:t>
      </w:r>
      <w:r w:rsidR="00F95D43" w:rsidRPr="00F44542">
        <w:t xml:space="preserve">generator </w:t>
      </w:r>
      <w:r w:rsidR="00834467" w:rsidRPr="00F44542">
        <w:t>application</w:t>
      </w:r>
      <w:r w:rsidR="00FA4CE7" w:rsidRPr="00F44542">
        <w:t>,</w:t>
      </w:r>
      <w:r w:rsidR="00CB65F3" w:rsidRPr="00F44542">
        <w:t xml:space="preserve"> since a number of</w:t>
      </w:r>
      <w:r w:rsidR="0010463E" w:rsidRPr="00F44542">
        <w:t xml:space="preserve"> </w:t>
      </w:r>
      <w:r w:rsidR="00CB65F3" w:rsidRPr="00F44542">
        <w:t xml:space="preserve">factors need to be taken into account. </w:t>
      </w:r>
      <w:r w:rsidR="0010463E" w:rsidRPr="00F44542">
        <w:t>The current capability of the drive, the maximum voltage it can sustain</w:t>
      </w:r>
      <w:r w:rsidR="00FA4CE7" w:rsidRPr="00F44542">
        <w:t xml:space="preserve"> on the DC link</w:t>
      </w:r>
      <w:r w:rsidR="0010463E" w:rsidRPr="00F44542">
        <w:t xml:space="preserve"> and the impact this has on the lifetime of key components, the impedance of the network filter and the amount of </w:t>
      </w:r>
      <w:r w:rsidR="00A24255" w:rsidRPr="00F44542">
        <w:t>reactive power (</w:t>
      </w:r>
      <w:proofErr w:type="spellStart"/>
      <w:r w:rsidR="0010463E" w:rsidRPr="00F44542">
        <w:t>VArs</w:t>
      </w:r>
      <w:proofErr w:type="spellEnd"/>
      <w:r w:rsidR="00A24255" w:rsidRPr="00F44542">
        <w:t>)</w:t>
      </w:r>
      <w:r w:rsidR="0010463E" w:rsidRPr="00F44542">
        <w:t xml:space="preserve"> that need to be delivered all need to be considered. </w:t>
      </w:r>
    </w:p>
    <w:p w14:paraId="5ED0F889" w14:textId="20F94B1B" w:rsidR="00CB65F3" w:rsidRPr="00F44542" w:rsidRDefault="00CB65F3" w:rsidP="00626AC3">
      <w:r w:rsidRPr="00F44542">
        <w:t xml:space="preserve">A key difference between sizing a converter for duty as a PTI </w:t>
      </w:r>
      <w:r w:rsidR="0010463E" w:rsidRPr="00F44542">
        <w:t xml:space="preserve">motor </w:t>
      </w:r>
      <w:r w:rsidRPr="00F44542">
        <w:t>drive and sizing it for use as a PTO</w:t>
      </w:r>
      <w:r w:rsidR="0010463E" w:rsidRPr="00F44542">
        <w:t xml:space="preserve"> </w:t>
      </w:r>
      <w:r w:rsidRPr="00F44542">
        <w:t>generator is that a PTI drive has its input voltage sustained by the distribution network, but a PTO</w:t>
      </w:r>
      <w:r w:rsidR="0010463E" w:rsidRPr="00F44542">
        <w:t xml:space="preserve"> </w:t>
      </w:r>
      <w:r w:rsidRPr="00F44542">
        <w:t>generator must sustain the voltage downstream of its network filter. This means that the power</w:t>
      </w:r>
      <w:r w:rsidR="0010463E" w:rsidRPr="00F44542">
        <w:t xml:space="preserve"> </w:t>
      </w:r>
      <w:r w:rsidRPr="00F44542">
        <w:t>electronics must counteract the effect of volt drop in that filter. A key factor that gives rise to volt drop is</w:t>
      </w:r>
      <w:r w:rsidR="0010463E" w:rsidRPr="00F44542">
        <w:t xml:space="preserve"> </w:t>
      </w:r>
      <w:r w:rsidRPr="00F44542">
        <w:t>the amount of reactive current that must be supplied by the converter i.e. the power factor of the</w:t>
      </w:r>
      <w:r w:rsidR="0010463E" w:rsidRPr="00F44542">
        <w:t xml:space="preserve"> </w:t>
      </w:r>
      <w:r w:rsidRPr="00F44542">
        <w:t>system. An AFE drive has the luxury of always being able to draw its power at near unity power factor</w:t>
      </w:r>
      <w:r w:rsidR="0010463E" w:rsidRPr="00F44542">
        <w:t xml:space="preserve"> </w:t>
      </w:r>
      <w:r w:rsidRPr="00F44542">
        <w:t>but a PTO converter must supply its power at the power factor dictated by the distribution network</w:t>
      </w:r>
      <w:r w:rsidR="00FA4CE7" w:rsidRPr="00F44542">
        <w:t xml:space="preserve"> and the connected loads</w:t>
      </w:r>
      <w:r w:rsidRPr="00F44542">
        <w:t>.</w:t>
      </w:r>
    </w:p>
    <w:p w14:paraId="47B8A1E2" w14:textId="283A0DB5" w:rsidR="00EC6695" w:rsidRPr="00F44542" w:rsidRDefault="0010463E" w:rsidP="00626AC3">
      <w:r w:rsidRPr="00F44542">
        <w:t xml:space="preserve">The </w:t>
      </w:r>
      <w:r w:rsidR="00F95D43" w:rsidRPr="00F44542">
        <w:t xml:space="preserve">exact </w:t>
      </w:r>
      <w:r w:rsidRPr="00F44542">
        <w:t>modelling of this and the actual sizing is a commercially sensitive subject</w:t>
      </w:r>
      <w:r w:rsidR="006D77BE" w:rsidRPr="00F44542">
        <w:t xml:space="preserve"> and needs to be carefully considered</w:t>
      </w:r>
      <w:r w:rsidRPr="00F44542">
        <w:t xml:space="preserve">; </w:t>
      </w:r>
      <w:r w:rsidR="00834467" w:rsidRPr="00F44542">
        <w:t xml:space="preserve">however </w:t>
      </w:r>
      <w:r w:rsidRPr="00F44542">
        <w:t xml:space="preserve">for the purposes of </w:t>
      </w:r>
      <w:r w:rsidR="00A679FA" w:rsidRPr="00F44542">
        <w:t>this paper</w:t>
      </w:r>
      <w:r w:rsidRPr="00F44542">
        <w:t xml:space="preserve"> the result is that for a PTO generator application a larger converter is </w:t>
      </w:r>
      <w:r w:rsidR="00834467" w:rsidRPr="00F44542">
        <w:t>in fact</w:t>
      </w:r>
      <w:r w:rsidRPr="00F44542">
        <w:t xml:space="preserve"> required in order to pr</w:t>
      </w:r>
      <w:r w:rsidR="00834467" w:rsidRPr="00F44542">
        <w:t xml:space="preserve">ovide </w:t>
      </w:r>
      <w:r w:rsidR="00A679FA" w:rsidRPr="00F44542">
        <w:t xml:space="preserve">both </w:t>
      </w:r>
      <w:r w:rsidR="00834467" w:rsidRPr="00F44542">
        <w:t xml:space="preserve">the real </w:t>
      </w:r>
      <w:r w:rsidR="00DD5885" w:rsidRPr="00F44542">
        <w:t>and</w:t>
      </w:r>
      <w:r w:rsidR="00834467" w:rsidRPr="00F44542">
        <w:t xml:space="preserve"> reactive power requirements.</w:t>
      </w:r>
    </w:p>
    <w:p w14:paraId="72E491F0" w14:textId="3DFD5D86" w:rsidR="006D77BE" w:rsidRPr="00F44542" w:rsidRDefault="004E780B" w:rsidP="00EC7368">
      <w:pPr>
        <w:pStyle w:val="Heading2"/>
      </w:pPr>
      <w:r>
        <w:t>PTO generator protection s</w:t>
      </w:r>
      <w:r w:rsidR="006D77BE" w:rsidRPr="00F44542">
        <w:t>chemes</w:t>
      </w:r>
    </w:p>
    <w:p w14:paraId="2720DC79" w14:textId="64B21AC7" w:rsidR="006D77BE" w:rsidRPr="00F44542" w:rsidRDefault="00F95D43" w:rsidP="00626AC3">
      <w:r w:rsidRPr="00F44542">
        <w:t xml:space="preserve">A common </w:t>
      </w:r>
      <w:r w:rsidR="00DD5885" w:rsidRPr="00F44542">
        <w:t>c</w:t>
      </w:r>
      <w:r w:rsidRPr="00F44542">
        <w:t xml:space="preserve">ertification </w:t>
      </w:r>
      <w:r w:rsidR="00DD5885" w:rsidRPr="00F44542">
        <w:t>c</w:t>
      </w:r>
      <w:r w:rsidRPr="00F44542">
        <w:t xml:space="preserve">lass </w:t>
      </w:r>
      <w:r w:rsidR="006D77BE" w:rsidRPr="00F44542">
        <w:t xml:space="preserve">requirement </w:t>
      </w:r>
      <w:r w:rsidRPr="00F44542">
        <w:t xml:space="preserve">is </w:t>
      </w:r>
      <w:r w:rsidR="006D77BE" w:rsidRPr="00F44542">
        <w:t>that for the PTO generators to be classed as primary generators and included in the ship</w:t>
      </w:r>
      <w:r w:rsidRPr="00F44542">
        <w:t>’s</w:t>
      </w:r>
      <w:r w:rsidR="006D77BE" w:rsidRPr="00F44542">
        <w:t xml:space="preserve"> load list they have to provide full discrimination for protection. If they were not primary generators then their supply of power to the system could not be counted when looking at electrical loading for given </w:t>
      </w:r>
      <w:r w:rsidRPr="00F44542">
        <w:t xml:space="preserve">operational </w:t>
      </w:r>
      <w:r w:rsidR="006D77BE" w:rsidRPr="00F44542">
        <w:t xml:space="preserve">scenarios, which would result in extra DGs being required. In order for </w:t>
      </w:r>
      <w:r w:rsidRPr="00F44542">
        <w:t>a</w:t>
      </w:r>
      <w:r w:rsidR="006D77BE" w:rsidRPr="00F44542">
        <w:t xml:space="preserve"> PTO generator to provide discrimination </w:t>
      </w:r>
      <w:r w:rsidRPr="00F44542">
        <w:t>it</w:t>
      </w:r>
      <w:r w:rsidR="006D77BE" w:rsidRPr="00F44542">
        <w:t xml:space="preserve"> need</w:t>
      </w:r>
      <w:r w:rsidRPr="00F44542">
        <w:t>s</w:t>
      </w:r>
      <w:r w:rsidR="006D77BE" w:rsidRPr="00F44542">
        <w:t xml:space="preserve"> to be able to provide </w:t>
      </w:r>
      <w:r w:rsidRPr="00F44542">
        <w:t xml:space="preserve">sufficient </w:t>
      </w:r>
      <w:r w:rsidR="006D77BE" w:rsidRPr="00F44542">
        <w:t xml:space="preserve">short circuit current in the event of a fault. Converters are </w:t>
      </w:r>
      <w:r w:rsidRPr="00F44542">
        <w:t>rated</w:t>
      </w:r>
      <w:r w:rsidR="006D77BE" w:rsidRPr="00F44542">
        <w:t xml:space="preserve"> by how much current they can provide to a load</w:t>
      </w:r>
      <w:r w:rsidRPr="00F44542">
        <w:t xml:space="preserve"> in normal operation</w:t>
      </w:r>
      <w:r w:rsidR="006D77BE" w:rsidRPr="00F44542">
        <w:t>, and to avoid high levels of thermal loading on the power electronic devices are typically very limi</w:t>
      </w:r>
      <w:r w:rsidRPr="00F44542">
        <w:t>ted in terms of overload rating</w:t>
      </w:r>
      <w:r w:rsidR="006D77BE" w:rsidRPr="00F44542">
        <w:t xml:space="preserve">. A conventional </w:t>
      </w:r>
      <w:r w:rsidR="00DD5885" w:rsidRPr="00F44542">
        <w:t xml:space="preserve">diesel powered alternator, which has </w:t>
      </w:r>
      <w:r w:rsidR="006D77BE" w:rsidRPr="00F44542">
        <w:t>significant inertia</w:t>
      </w:r>
      <w:r w:rsidR="0067504D" w:rsidRPr="00F44542">
        <w:t xml:space="preserve"> and a high thermal mass (</w:t>
      </w:r>
      <w:r w:rsidR="006D77BE" w:rsidRPr="00F44542">
        <w:t xml:space="preserve">due to </w:t>
      </w:r>
      <w:r w:rsidR="0067504D" w:rsidRPr="00F44542">
        <w:t xml:space="preserve">the nature of its construction from </w:t>
      </w:r>
      <w:r w:rsidR="006D77BE" w:rsidRPr="00F44542">
        <w:t xml:space="preserve">copper </w:t>
      </w:r>
      <w:r w:rsidR="00DD5885" w:rsidRPr="00F44542">
        <w:t>and</w:t>
      </w:r>
      <w:r w:rsidR="0067504D" w:rsidRPr="00F44542">
        <w:t xml:space="preserve"> iron)</w:t>
      </w:r>
      <w:r w:rsidR="006D77BE" w:rsidRPr="00F44542">
        <w:t xml:space="preserve">, is capable of transiently providing up to three times </w:t>
      </w:r>
      <w:r w:rsidR="00F11A49" w:rsidRPr="00F44542">
        <w:t>f</w:t>
      </w:r>
      <w:r w:rsidR="006D77BE" w:rsidRPr="00F44542">
        <w:t xml:space="preserve">ull </w:t>
      </w:r>
      <w:r w:rsidR="00F11A49" w:rsidRPr="00F44542">
        <w:t>l</w:t>
      </w:r>
      <w:r w:rsidR="006D77BE" w:rsidRPr="00F44542">
        <w:t xml:space="preserve">oad </w:t>
      </w:r>
      <w:r w:rsidR="00F11A49" w:rsidRPr="00F44542">
        <w:t>c</w:t>
      </w:r>
      <w:r w:rsidR="006D77BE" w:rsidRPr="00F44542">
        <w:t>urrent (FLC) under a short circuit. Comparatively a power electronic converter</w:t>
      </w:r>
      <w:r w:rsidR="00FA4CE7" w:rsidRPr="00F44542">
        <w:t xml:space="preserve"> has very limited overload capability since its thermal mass is much less, a</w:t>
      </w:r>
      <w:r w:rsidR="006D77BE" w:rsidRPr="00F44542">
        <w:t xml:space="preserve">nd beyond </w:t>
      </w:r>
      <w:r w:rsidR="00FA4CE7" w:rsidRPr="00F44542">
        <w:t>the</w:t>
      </w:r>
      <w:r w:rsidR="006D77BE" w:rsidRPr="00F44542">
        <w:t xml:space="preserve"> limit the controller will </w:t>
      </w:r>
      <w:r w:rsidRPr="00F44542">
        <w:t xml:space="preserve">normally </w:t>
      </w:r>
      <w:r w:rsidR="006D77BE" w:rsidRPr="00F44542">
        <w:t>trip the converter to protect the devices.</w:t>
      </w:r>
    </w:p>
    <w:p w14:paraId="2F18E243" w14:textId="518CE896" w:rsidR="001B6E08" w:rsidRPr="00F44542" w:rsidRDefault="00F95D43" w:rsidP="00626AC3">
      <w:r w:rsidRPr="00F44542">
        <w:t xml:space="preserve">An easy, although extreme, </w:t>
      </w:r>
      <w:r w:rsidR="00DD5885" w:rsidRPr="00F44542">
        <w:t xml:space="preserve">solution </w:t>
      </w:r>
      <w:r w:rsidR="006D77BE" w:rsidRPr="00F44542">
        <w:t xml:space="preserve">would just be to simply install a (current) rating of converter three times larger than is actually required. However </w:t>
      </w:r>
      <w:r w:rsidR="00DD5885" w:rsidRPr="00F44542">
        <w:t>this</w:t>
      </w:r>
      <w:r w:rsidR="006D77BE" w:rsidRPr="00F44542">
        <w:t xml:space="preserve"> would not be practical nor </w:t>
      </w:r>
      <w:r w:rsidR="00DD5885" w:rsidRPr="00F44542">
        <w:t>would it make the h</w:t>
      </w:r>
      <w:r w:rsidR="006D77BE" w:rsidRPr="00F44542">
        <w:t xml:space="preserve">ybrid option competitive in terms of space, weight </w:t>
      </w:r>
      <w:r w:rsidR="00DD5885" w:rsidRPr="00F44542">
        <w:t>and</w:t>
      </w:r>
      <w:r w:rsidR="006D77BE" w:rsidRPr="00F44542">
        <w:t xml:space="preserve"> cost to do this in order to meet the required overload. Instead a more refined solution is </w:t>
      </w:r>
      <w:r w:rsidR="00FA4CE7" w:rsidRPr="00F44542">
        <w:t>needed that requires a thorough understanding of the issues</w:t>
      </w:r>
      <w:r w:rsidR="006D77BE" w:rsidRPr="00F44542">
        <w:t xml:space="preserve">. As previously discussed, it is usually necessary to install a slightly larger converter for a PTO application compared to what could be used if it was only for PTI. This assists in allowing the converter in providing fault current, due to the fact that some additional converter (current) margin is already installed. The </w:t>
      </w:r>
      <w:r w:rsidR="006D77BE" w:rsidRPr="00F44542">
        <w:rPr>
          <w:color w:val="auto"/>
        </w:rPr>
        <w:t xml:space="preserve">result is that whilst the PTO transient overload is </w:t>
      </w:r>
      <w:r w:rsidR="00FA4CE7" w:rsidRPr="00F44542">
        <w:rPr>
          <w:color w:val="auto"/>
        </w:rPr>
        <w:t xml:space="preserve">still </w:t>
      </w:r>
      <w:r w:rsidR="006D77BE" w:rsidRPr="00F44542">
        <w:rPr>
          <w:color w:val="auto"/>
        </w:rPr>
        <w:t xml:space="preserve">not as high as a conventional alternator, it is </w:t>
      </w:r>
      <w:r w:rsidR="00FA4CE7" w:rsidRPr="00F44542">
        <w:rPr>
          <w:color w:val="auto"/>
        </w:rPr>
        <w:t>greater than the baseline overload due to the extra installed capacity</w:t>
      </w:r>
      <w:r w:rsidR="00A24255" w:rsidRPr="00F44542">
        <w:rPr>
          <w:color w:val="auto"/>
        </w:rPr>
        <w:t>.</w:t>
      </w:r>
    </w:p>
    <w:p w14:paraId="02281B5F" w14:textId="1FBA2255" w:rsidR="00834467" w:rsidRPr="00F44542" w:rsidRDefault="00A44E05" w:rsidP="00626AC3">
      <w:pPr>
        <w:rPr>
          <w:color w:val="auto"/>
        </w:rPr>
      </w:pPr>
      <w:r w:rsidRPr="00F44542">
        <w:t>With careful design of the protection co-ordination</w:t>
      </w:r>
      <w:r w:rsidR="00EC6695" w:rsidRPr="00F44542">
        <w:t xml:space="preserve"> scheme</w:t>
      </w:r>
      <w:r w:rsidR="00DD5885" w:rsidRPr="00F44542">
        <w:t xml:space="preserve">, the </w:t>
      </w:r>
      <w:r w:rsidR="00FA4CE7" w:rsidRPr="00F44542">
        <w:t>resultant overload margin is</w:t>
      </w:r>
      <w:r w:rsidRPr="00F44542">
        <w:t xml:space="preserve"> sufficient to provide the required discrimination for most loads. </w:t>
      </w:r>
      <w:r w:rsidR="00DD5885" w:rsidRPr="00F44542">
        <w:t>T</w:t>
      </w:r>
      <w:r w:rsidRPr="00F44542">
        <w:t xml:space="preserve">he challenge continues </w:t>
      </w:r>
      <w:r w:rsidR="00DD5885" w:rsidRPr="00F44542">
        <w:t>however</w:t>
      </w:r>
      <w:r w:rsidRPr="00F44542">
        <w:t xml:space="preserve"> when large ship service transformers are </w:t>
      </w:r>
      <w:r w:rsidRPr="00F44542">
        <w:rPr>
          <w:color w:val="auto"/>
        </w:rPr>
        <w:t>installed.</w:t>
      </w:r>
      <w:r w:rsidR="00EC6695" w:rsidRPr="00F44542">
        <w:rPr>
          <w:color w:val="auto"/>
        </w:rPr>
        <w:t xml:space="preserve"> As can be seen in </w:t>
      </w:r>
      <w:r w:rsidR="00A8641C" w:rsidRPr="00F44542">
        <w:rPr>
          <w:color w:val="auto"/>
        </w:rPr>
        <w:fldChar w:fldCharType="begin"/>
      </w:r>
      <w:r w:rsidR="00A8641C" w:rsidRPr="00F44542">
        <w:rPr>
          <w:color w:val="auto"/>
        </w:rPr>
        <w:instrText xml:space="preserve"> REF _Ref440029979 </w:instrText>
      </w:r>
      <w:r w:rsidR="009C24A6" w:rsidRPr="00F44542">
        <w:rPr>
          <w:color w:val="auto"/>
        </w:rPr>
        <w:instrText xml:space="preserve"> \* MERGEFORMAT </w:instrText>
      </w:r>
      <w:r w:rsidR="00A8641C" w:rsidRPr="00F44542">
        <w:rPr>
          <w:color w:val="auto"/>
        </w:rPr>
        <w:fldChar w:fldCharType="separate"/>
      </w:r>
      <w:r w:rsidR="00EC7368" w:rsidRPr="00EC7368">
        <w:t xml:space="preserve">Figure </w:t>
      </w:r>
      <w:r w:rsidR="00EC7368" w:rsidRPr="00EC7368">
        <w:rPr>
          <w:noProof/>
        </w:rPr>
        <w:t>5</w:t>
      </w:r>
      <w:r w:rsidR="00A8641C" w:rsidRPr="00F44542">
        <w:rPr>
          <w:color w:val="auto"/>
        </w:rPr>
        <w:fldChar w:fldCharType="end"/>
      </w:r>
      <w:r w:rsidR="00EC6695" w:rsidRPr="00F44542">
        <w:rPr>
          <w:color w:val="auto"/>
        </w:rPr>
        <w:t xml:space="preserve">, a simplified version of the MARS Tanker </w:t>
      </w:r>
      <w:r w:rsidR="00DD5885" w:rsidRPr="00F44542">
        <w:rPr>
          <w:color w:val="auto"/>
        </w:rPr>
        <w:t>SLD</w:t>
      </w:r>
      <w:r w:rsidR="00A8641C" w:rsidRPr="00F44542">
        <w:rPr>
          <w:color w:val="auto"/>
        </w:rPr>
        <w:t xml:space="preserve"> only showing one </w:t>
      </w:r>
      <w:proofErr w:type="spellStart"/>
      <w:r w:rsidR="00A8641C" w:rsidRPr="00F44542">
        <w:rPr>
          <w:color w:val="auto"/>
        </w:rPr>
        <w:t>shaftline</w:t>
      </w:r>
      <w:proofErr w:type="spellEnd"/>
      <w:r w:rsidR="00EC6695" w:rsidRPr="00F44542">
        <w:rPr>
          <w:color w:val="auto"/>
        </w:rPr>
        <w:t>, the</w:t>
      </w:r>
      <w:r w:rsidR="009A3518" w:rsidRPr="00F44542">
        <w:rPr>
          <w:color w:val="auto"/>
        </w:rPr>
        <w:t xml:space="preserve"> FLC</w:t>
      </w:r>
      <w:r w:rsidR="00EC6695" w:rsidRPr="00F44542">
        <w:rPr>
          <w:color w:val="auto"/>
        </w:rPr>
        <w:t xml:space="preserve"> of the two large 3800kVA transformers is 3179Amps. This is much larger than the nominal current that a single </w:t>
      </w:r>
      <w:r w:rsidR="00DD5885" w:rsidRPr="00F44542">
        <w:rPr>
          <w:color w:val="auto"/>
        </w:rPr>
        <w:t>h</w:t>
      </w:r>
      <w:r w:rsidR="00EC6695" w:rsidRPr="00F44542">
        <w:rPr>
          <w:color w:val="auto"/>
        </w:rPr>
        <w:t>ybrid will provide in PTO mode which is approximately 25</w:t>
      </w:r>
      <w:r w:rsidR="00CE0AFF" w:rsidRPr="00F44542">
        <w:rPr>
          <w:color w:val="auto"/>
        </w:rPr>
        <w:t>1</w:t>
      </w:r>
      <w:r w:rsidR="00EC6695" w:rsidRPr="00F44542">
        <w:rPr>
          <w:color w:val="auto"/>
        </w:rPr>
        <w:t xml:space="preserve">0Amps. </w:t>
      </w:r>
      <w:r w:rsidR="00162307" w:rsidRPr="00F44542">
        <w:rPr>
          <w:color w:val="auto"/>
        </w:rPr>
        <w:t xml:space="preserve">There could easily exist a case when running in </w:t>
      </w:r>
      <w:r w:rsidR="00162307" w:rsidRPr="00F44542">
        <w:t>Diesel Cruise</w:t>
      </w:r>
      <w:r w:rsidR="00162307" w:rsidRPr="00F44542">
        <w:rPr>
          <w:color w:val="auto"/>
        </w:rPr>
        <w:t xml:space="preserve"> mode with only the </w:t>
      </w:r>
      <w:r w:rsidR="00597913" w:rsidRPr="00F44542">
        <w:t>PTO generators</w:t>
      </w:r>
      <w:r w:rsidR="00162307" w:rsidRPr="00F44542">
        <w:rPr>
          <w:color w:val="auto"/>
        </w:rPr>
        <w:t xml:space="preserve"> operating and sufficient load on the transformers where </w:t>
      </w:r>
      <w:r w:rsidR="00597913" w:rsidRPr="00F44542">
        <w:rPr>
          <w:color w:val="auto"/>
        </w:rPr>
        <w:t xml:space="preserve">the PTO generators </w:t>
      </w:r>
      <w:r w:rsidR="00162307" w:rsidRPr="00F44542">
        <w:rPr>
          <w:color w:val="auto"/>
        </w:rPr>
        <w:t xml:space="preserve">become fully loaded. </w:t>
      </w:r>
      <w:r w:rsidR="00EC6695" w:rsidRPr="00F44542">
        <w:rPr>
          <w:color w:val="auto"/>
        </w:rPr>
        <w:t xml:space="preserve">In </w:t>
      </w:r>
      <w:r w:rsidR="00162307" w:rsidRPr="00F44542">
        <w:rPr>
          <w:color w:val="auto"/>
        </w:rPr>
        <w:t>the</w:t>
      </w:r>
      <w:r w:rsidR="00EC6695" w:rsidRPr="00F44542">
        <w:rPr>
          <w:color w:val="auto"/>
        </w:rPr>
        <w:t xml:space="preserve"> case </w:t>
      </w:r>
      <w:r w:rsidR="00162307" w:rsidRPr="00F44542">
        <w:rPr>
          <w:color w:val="auto"/>
        </w:rPr>
        <w:t>where the load continues to increase (befo</w:t>
      </w:r>
      <w:r w:rsidR="00DD5885" w:rsidRPr="00F44542">
        <w:rPr>
          <w:color w:val="auto"/>
        </w:rPr>
        <w:t xml:space="preserve">re the power management system </w:t>
      </w:r>
      <w:r w:rsidR="00162307" w:rsidRPr="00F44542">
        <w:rPr>
          <w:color w:val="auto"/>
        </w:rPr>
        <w:t xml:space="preserve">has started additional generators) </w:t>
      </w:r>
      <w:r w:rsidR="00EC6695" w:rsidRPr="00F44542">
        <w:rPr>
          <w:color w:val="auto"/>
        </w:rPr>
        <w:t xml:space="preserve">the protection </w:t>
      </w:r>
      <w:r w:rsidR="00162307" w:rsidRPr="00F44542">
        <w:rPr>
          <w:color w:val="auto"/>
        </w:rPr>
        <w:t xml:space="preserve">relays for the PTO incomers </w:t>
      </w:r>
      <w:r w:rsidR="00EC6695" w:rsidRPr="00F44542">
        <w:rPr>
          <w:color w:val="auto"/>
        </w:rPr>
        <w:t xml:space="preserve">in the switchboard </w:t>
      </w:r>
      <w:r w:rsidR="00162307" w:rsidRPr="00F44542">
        <w:rPr>
          <w:color w:val="auto"/>
        </w:rPr>
        <w:t>would see this overload as a fault and trip the breakers, pot</w:t>
      </w:r>
      <w:r w:rsidR="009A3518" w:rsidRPr="00F44542">
        <w:rPr>
          <w:color w:val="auto"/>
        </w:rPr>
        <w:t>entially blacking out the ship as these are the only source of generation.</w:t>
      </w:r>
    </w:p>
    <w:p w14:paraId="57F5C1E8" w14:textId="77777777" w:rsidR="00A8641C" w:rsidRPr="00F44542" w:rsidRDefault="00A8641C" w:rsidP="00626AC3"/>
    <w:p w14:paraId="2807B690" w14:textId="56FD538E" w:rsidR="00A8641C" w:rsidRPr="00F44542" w:rsidRDefault="008A4EF7" w:rsidP="00626AC3">
      <w:pPr>
        <w:pStyle w:val="Figure"/>
      </w:pPr>
      <w:r w:rsidRPr="00F44542">
        <w:lastRenderedPageBreak/>
        <w:drawing>
          <wp:inline distT="0" distB="0" distL="0" distR="0" wp14:anchorId="60E8D1D2" wp14:editId="0582CF9C">
            <wp:extent cx="3420000" cy="3345284"/>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000" cy="3345284"/>
                    </a:xfrm>
                    <a:prstGeom prst="rect">
                      <a:avLst/>
                    </a:prstGeom>
                    <a:noFill/>
                    <a:ln>
                      <a:noFill/>
                    </a:ln>
                  </pic:spPr>
                </pic:pic>
              </a:graphicData>
            </a:graphic>
          </wp:inline>
        </w:drawing>
      </w:r>
    </w:p>
    <w:p w14:paraId="4AF37B98" w14:textId="0CD76DC7" w:rsidR="00A8641C" w:rsidRPr="00F44542" w:rsidRDefault="00A8641C" w:rsidP="008E3A0D">
      <w:pPr>
        <w:pStyle w:val="Caption"/>
      </w:pPr>
      <w:bookmarkStart w:id="4" w:name="_Ref440029979"/>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5</w:t>
      </w:r>
      <w:r w:rsidR="00CA4C92">
        <w:rPr>
          <w:noProof/>
        </w:rPr>
        <w:fldChar w:fldCharType="end"/>
      </w:r>
      <w:bookmarkEnd w:id="4"/>
      <w:r w:rsidRPr="00F44542">
        <w:t>: Simplified MARS Tanker Single-Line-Diagram</w:t>
      </w:r>
    </w:p>
    <w:p w14:paraId="54FB9DE8" w14:textId="25C3A40D" w:rsidR="00EC6695" w:rsidRPr="00F44542" w:rsidRDefault="008F270C" w:rsidP="00626AC3">
      <w:pPr>
        <w:rPr>
          <w:color w:val="FF0000"/>
        </w:rPr>
      </w:pPr>
      <w:r w:rsidRPr="00F44542">
        <w:t>The</w:t>
      </w:r>
      <w:r w:rsidR="00F91519" w:rsidRPr="00F44542">
        <w:t xml:space="preserve"> proposed</w:t>
      </w:r>
      <w:r w:rsidRPr="00F44542">
        <w:t xml:space="preserve"> solution for this </w:t>
      </w:r>
      <w:r w:rsidR="003426FF" w:rsidRPr="00F44542">
        <w:t xml:space="preserve">is to program two sets of protection curves into the </w:t>
      </w:r>
      <w:r w:rsidR="009A3518" w:rsidRPr="00F44542">
        <w:t>transformer feeder relays</w:t>
      </w:r>
      <w:r w:rsidR="00CB0BEE" w:rsidRPr="00F44542">
        <w:t>:</w:t>
      </w:r>
      <w:r w:rsidR="009A3518" w:rsidRPr="00F44542">
        <w:t xml:space="preserve"> one curve for the FLC rating, and one for a reduced current rating</w:t>
      </w:r>
      <w:r w:rsidR="00CB0BEE" w:rsidRPr="00F44542">
        <w:t xml:space="preserve">. A switchboard controller </w:t>
      </w:r>
      <w:r w:rsidR="003426FF" w:rsidRPr="00F44542">
        <w:t xml:space="preserve">monitors the power system configuration and when only </w:t>
      </w:r>
      <w:r w:rsidR="009A3518" w:rsidRPr="00F44542">
        <w:t xml:space="preserve">the </w:t>
      </w:r>
      <w:r w:rsidR="00597913" w:rsidRPr="00F44542">
        <w:t>PTO generators are online as the sole generators</w:t>
      </w:r>
      <w:r w:rsidR="009A3518" w:rsidRPr="00F44542">
        <w:t xml:space="preserve">, the </w:t>
      </w:r>
      <w:r w:rsidR="00CB0BEE" w:rsidRPr="00F44542">
        <w:t>controller</w:t>
      </w:r>
      <w:r w:rsidR="009A3518" w:rsidRPr="00F44542">
        <w:t xml:space="preserve"> sends a signal to the protection relays switching the protection curves. This effectively de-rates the transformers when fed by the </w:t>
      </w:r>
      <w:r w:rsidR="00597913" w:rsidRPr="00F44542">
        <w:t xml:space="preserve">PTO generators </w:t>
      </w:r>
      <w:r w:rsidR="009A3518" w:rsidRPr="00F44542">
        <w:t xml:space="preserve">so the transformer breakers will trip first in an ‘overload’ situation. </w:t>
      </w:r>
      <w:r w:rsidR="00EC6695" w:rsidRPr="00F44542">
        <w:t>As a backup</w:t>
      </w:r>
      <w:r w:rsidR="0067504D" w:rsidRPr="00F44542">
        <w:t>,</w:t>
      </w:r>
      <w:r w:rsidR="00EC6695" w:rsidRPr="00F44542">
        <w:t xml:space="preserve"> the </w:t>
      </w:r>
      <w:r w:rsidR="00162307" w:rsidRPr="00F44542">
        <w:t xml:space="preserve">protection relays </w:t>
      </w:r>
      <w:r w:rsidR="00FA4CE7" w:rsidRPr="00F44542">
        <w:t>could</w:t>
      </w:r>
      <w:r w:rsidR="00162307" w:rsidRPr="00F44542">
        <w:t xml:space="preserve"> also </w:t>
      </w:r>
      <w:r w:rsidR="00763B69" w:rsidRPr="00F44542">
        <w:t xml:space="preserve">be </w:t>
      </w:r>
      <w:r w:rsidR="00162307" w:rsidRPr="00F44542">
        <w:t>configured with a voltage restrained overcurrent setting</w:t>
      </w:r>
      <w:r w:rsidR="00CE0AFF" w:rsidRPr="00F44542">
        <w:t xml:space="preserve"> (ANSI 51V)</w:t>
      </w:r>
      <w:r w:rsidR="00162307" w:rsidRPr="00F44542">
        <w:t xml:space="preserve">. </w:t>
      </w:r>
      <w:r w:rsidR="00763B69" w:rsidRPr="00F44542">
        <w:t>If</w:t>
      </w:r>
      <w:r w:rsidR="00162307" w:rsidRPr="00F44542">
        <w:t xml:space="preserve"> a</w:t>
      </w:r>
      <w:r w:rsidR="009A3518" w:rsidRPr="00F44542">
        <w:t xml:space="preserve"> </w:t>
      </w:r>
      <w:r w:rsidR="00162307" w:rsidRPr="00F44542">
        <w:t>fault occur</w:t>
      </w:r>
      <w:r w:rsidR="00763B69" w:rsidRPr="00F44542">
        <w:t>s</w:t>
      </w:r>
      <w:r w:rsidR="00162307" w:rsidRPr="00F44542">
        <w:t xml:space="preserve"> the system voltage will </w:t>
      </w:r>
      <w:r w:rsidR="00CE0AFF" w:rsidRPr="00F44542">
        <w:t>drop</w:t>
      </w:r>
      <w:r w:rsidR="00162307" w:rsidRPr="00F44542">
        <w:t xml:space="preserve"> and the </w:t>
      </w:r>
      <w:r w:rsidR="00CE0AFF" w:rsidRPr="00F44542">
        <w:t xml:space="preserve">51V </w:t>
      </w:r>
      <w:r w:rsidR="00162307" w:rsidRPr="00F44542">
        <w:t>relays wi</w:t>
      </w:r>
      <w:r w:rsidR="00CE0AFF" w:rsidRPr="00F44542">
        <w:t>ll</w:t>
      </w:r>
      <w:r w:rsidR="00162307" w:rsidRPr="00F44542">
        <w:t xml:space="preserve"> </w:t>
      </w:r>
      <w:r w:rsidRPr="00F44542">
        <w:t xml:space="preserve">sense this and </w:t>
      </w:r>
      <w:r w:rsidR="0013688B" w:rsidRPr="00F44542">
        <w:t xml:space="preserve">ultimately </w:t>
      </w:r>
      <w:r w:rsidRPr="00F44542">
        <w:t>trip the relevant breakers.</w:t>
      </w:r>
    </w:p>
    <w:p w14:paraId="07A60495" w14:textId="729CA6A0" w:rsidR="0041511B" w:rsidRPr="00F44542" w:rsidRDefault="0067504D" w:rsidP="00626AC3">
      <w:r w:rsidRPr="00F44542">
        <w:t>One key requirement of a</w:t>
      </w:r>
      <w:r w:rsidR="0041511B" w:rsidRPr="00F44542">
        <w:t xml:space="preserve"> PTO generator fed power system is that it is essential for the transformers to be fitted with pre-charge units to provide magnetisation of the main transformer in a controlled manner. This is due to the fact that the converter would not be able to cope with the transient inrush current that can be </w:t>
      </w:r>
      <w:r w:rsidR="00282486" w:rsidRPr="00F44542">
        <w:t xml:space="preserve">a factor of approximately </w:t>
      </w:r>
      <w:r w:rsidRPr="00F44542">
        <w:t>seven to ten</w:t>
      </w:r>
      <w:r w:rsidR="0041511B" w:rsidRPr="00F44542">
        <w:t xml:space="preserve"> times the nominal full load current rating of the transformer. </w:t>
      </w:r>
      <w:r w:rsidR="00CB0BEE" w:rsidRPr="00F44542">
        <w:t>As an</w:t>
      </w:r>
      <w:r w:rsidR="0041511B" w:rsidRPr="00F44542">
        <w:t xml:space="preserve"> example</w:t>
      </w:r>
      <w:r w:rsidR="00CB0BEE" w:rsidRPr="00F44542">
        <w:t>,</w:t>
      </w:r>
      <w:r w:rsidR="0041511B" w:rsidRPr="00F44542">
        <w:t xml:space="preserve"> </w:t>
      </w:r>
      <w:r w:rsidR="007737E3">
        <w:fldChar w:fldCharType="begin"/>
      </w:r>
      <w:r w:rsidR="007737E3">
        <w:instrText xml:space="preserve"> REF _Ref382404780  \* MERGEFORMAT </w:instrText>
      </w:r>
      <w:r w:rsidR="007737E3">
        <w:fldChar w:fldCharType="separate"/>
      </w:r>
      <w:r w:rsidR="00EC7368" w:rsidRPr="00EC7368">
        <w:t xml:space="preserve">Table </w:t>
      </w:r>
      <w:r w:rsidR="00EC7368" w:rsidRPr="00EC7368">
        <w:rPr>
          <w:noProof/>
        </w:rPr>
        <w:t>1</w:t>
      </w:r>
      <w:r w:rsidR="007737E3">
        <w:rPr>
          <w:noProof/>
        </w:rPr>
        <w:fldChar w:fldCharType="end"/>
      </w:r>
      <w:r w:rsidR="00282486" w:rsidRPr="00F44542">
        <w:t xml:space="preserve"> </w:t>
      </w:r>
      <w:r w:rsidR="0041511B" w:rsidRPr="00F44542">
        <w:t>gives the design data values of the ship-service transformers fitted to the Norwegian LSV.</w:t>
      </w:r>
    </w:p>
    <w:p w14:paraId="53849C20" w14:textId="77777777" w:rsidR="0041511B" w:rsidRPr="00F44542" w:rsidRDefault="0041511B" w:rsidP="00626AC3"/>
    <w:p w14:paraId="3D9CF076" w14:textId="0971B102" w:rsidR="00282486" w:rsidRPr="00F44542" w:rsidRDefault="00282486" w:rsidP="008E3A0D">
      <w:pPr>
        <w:pStyle w:val="Caption"/>
      </w:pPr>
      <w:bookmarkStart w:id="5" w:name="_Ref382404780"/>
      <w:r w:rsidRPr="00F44542">
        <w:t xml:space="preserve">Table </w:t>
      </w:r>
      <w:r w:rsidR="00CA4C92">
        <w:rPr>
          <w:noProof/>
        </w:rPr>
        <w:fldChar w:fldCharType="begin"/>
      </w:r>
      <w:r w:rsidR="00CA4C92">
        <w:rPr>
          <w:noProof/>
        </w:rPr>
        <w:instrText xml:space="preserve"> SEQ Table \* ARABIC </w:instrText>
      </w:r>
      <w:r w:rsidR="00CA4C92">
        <w:rPr>
          <w:noProof/>
        </w:rPr>
        <w:fldChar w:fldCharType="separate"/>
      </w:r>
      <w:r w:rsidR="00EC7368">
        <w:rPr>
          <w:noProof/>
        </w:rPr>
        <w:t>1</w:t>
      </w:r>
      <w:r w:rsidR="00CA4C92">
        <w:rPr>
          <w:noProof/>
        </w:rPr>
        <w:fldChar w:fldCharType="end"/>
      </w:r>
      <w:bookmarkEnd w:id="5"/>
      <w:r w:rsidRPr="00F44542">
        <w:t>: Design Data for Transformers fitted to the Norwegian LSV</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69"/>
        <w:gridCol w:w="1770"/>
        <w:gridCol w:w="1216"/>
        <w:gridCol w:w="1390"/>
      </w:tblGrid>
      <w:tr w:rsidR="00282486" w:rsidRPr="00F44542" w14:paraId="3136AD4B" w14:textId="5CC8A965" w:rsidTr="0067504D">
        <w:trPr>
          <w:trHeight w:val="454"/>
          <w:jc w:val="center"/>
        </w:trPr>
        <w:tc>
          <w:tcPr>
            <w:tcW w:w="1469" w:type="dxa"/>
            <w:vAlign w:val="center"/>
          </w:tcPr>
          <w:p w14:paraId="48C1B21D" w14:textId="448B0366" w:rsidR="00282486" w:rsidRPr="00626AC3" w:rsidRDefault="00282486" w:rsidP="00626AC3">
            <w:pPr>
              <w:pStyle w:val="TableTitle"/>
            </w:pPr>
            <w:r w:rsidRPr="00626AC3">
              <w:t>Transformer</w:t>
            </w:r>
          </w:p>
        </w:tc>
        <w:tc>
          <w:tcPr>
            <w:tcW w:w="1770" w:type="dxa"/>
            <w:vAlign w:val="center"/>
          </w:tcPr>
          <w:p w14:paraId="3F48533A" w14:textId="2489644D" w:rsidR="0067504D" w:rsidRPr="00626AC3" w:rsidRDefault="0067504D" w:rsidP="00626AC3">
            <w:pPr>
              <w:pStyle w:val="TableTitle"/>
            </w:pPr>
            <w:r w:rsidRPr="00626AC3">
              <w:t xml:space="preserve">Primary </w:t>
            </w:r>
            <w:r w:rsidR="00282486" w:rsidRPr="00626AC3">
              <w:t>690V</w:t>
            </w:r>
          </w:p>
          <w:p w14:paraId="49DAD4CE" w14:textId="54ADAC5D" w:rsidR="00282486" w:rsidRPr="00626AC3" w:rsidRDefault="00282486" w:rsidP="00626AC3">
            <w:pPr>
              <w:pStyle w:val="TableTitle"/>
            </w:pPr>
            <w:r w:rsidRPr="00626AC3">
              <w:t>Nominal Current</w:t>
            </w:r>
          </w:p>
        </w:tc>
        <w:tc>
          <w:tcPr>
            <w:tcW w:w="1216" w:type="dxa"/>
            <w:vAlign w:val="center"/>
          </w:tcPr>
          <w:p w14:paraId="6B22CD9B" w14:textId="1902A9FE" w:rsidR="00282486" w:rsidRPr="00626AC3" w:rsidRDefault="00282486" w:rsidP="00626AC3">
            <w:pPr>
              <w:pStyle w:val="TableTitle"/>
            </w:pPr>
            <w:r w:rsidRPr="00626AC3">
              <w:t>Inrush Current</w:t>
            </w:r>
          </w:p>
        </w:tc>
        <w:tc>
          <w:tcPr>
            <w:tcW w:w="1390" w:type="dxa"/>
            <w:vAlign w:val="center"/>
          </w:tcPr>
          <w:p w14:paraId="4F1DC198" w14:textId="4C3BC24A" w:rsidR="00282486" w:rsidRPr="00626AC3" w:rsidRDefault="00282486" w:rsidP="00626AC3">
            <w:pPr>
              <w:pStyle w:val="TableTitle"/>
            </w:pPr>
            <w:r w:rsidRPr="00626AC3">
              <w:t>Factor</w:t>
            </w:r>
          </w:p>
        </w:tc>
      </w:tr>
      <w:tr w:rsidR="00282486" w:rsidRPr="00F44542" w14:paraId="23F0BE06" w14:textId="348C0779" w:rsidTr="0067504D">
        <w:trPr>
          <w:trHeight w:val="454"/>
          <w:jc w:val="center"/>
        </w:trPr>
        <w:tc>
          <w:tcPr>
            <w:tcW w:w="1469" w:type="dxa"/>
            <w:vAlign w:val="center"/>
          </w:tcPr>
          <w:p w14:paraId="4987B03B" w14:textId="17ED0EC5" w:rsidR="00282486" w:rsidRPr="00626AC3" w:rsidRDefault="00282486" w:rsidP="00626AC3">
            <w:pPr>
              <w:pStyle w:val="TableText"/>
            </w:pPr>
            <w:r w:rsidRPr="00626AC3">
              <w:t>1000kVA</w:t>
            </w:r>
          </w:p>
          <w:p w14:paraId="19A2E500" w14:textId="63F6DDBF" w:rsidR="00282486" w:rsidRPr="00626AC3" w:rsidRDefault="00282486" w:rsidP="00626AC3">
            <w:pPr>
              <w:pStyle w:val="TableText"/>
            </w:pPr>
            <w:r w:rsidRPr="00626AC3">
              <w:t>LC1 &amp; LC2</w:t>
            </w:r>
          </w:p>
        </w:tc>
        <w:tc>
          <w:tcPr>
            <w:tcW w:w="1770" w:type="dxa"/>
            <w:vAlign w:val="center"/>
          </w:tcPr>
          <w:p w14:paraId="1937E0CF" w14:textId="715BAEA4" w:rsidR="00282486" w:rsidRPr="00626AC3" w:rsidRDefault="00282486" w:rsidP="00626AC3">
            <w:pPr>
              <w:pStyle w:val="TableText"/>
            </w:pPr>
            <w:r w:rsidRPr="00626AC3">
              <w:t>836.7 Amps</w:t>
            </w:r>
          </w:p>
        </w:tc>
        <w:tc>
          <w:tcPr>
            <w:tcW w:w="1216" w:type="dxa"/>
            <w:vAlign w:val="center"/>
          </w:tcPr>
          <w:p w14:paraId="0FB81455" w14:textId="1F2E1501" w:rsidR="00282486" w:rsidRPr="00626AC3" w:rsidRDefault="00282486" w:rsidP="00626AC3">
            <w:pPr>
              <w:pStyle w:val="TableText"/>
            </w:pPr>
            <w:r w:rsidRPr="00626AC3">
              <w:t>9.23 kA</w:t>
            </w:r>
          </w:p>
        </w:tc>
        <w:tc>
          <w:tcPr>
            <w:tcW w:w="1390" w:type="dxa"/>
            <w:vAlign w:val="center"/>
          </w:tcPr>
          <w:p w14:paraId="55053F87" w14:textId="5165D28E" w:rsidR="00282486" w:rsidRPr="00626AC3" w:rsidRDefault="00282486" w:rsidP="00626AC3">
            <w:pPr>
              <w:pStyle w:val="TableText"/>
            </w:pPr>
            <w:r w:rsidRPr="00626AC3">
              <w:t>11.0x</w:t>
            </w:r>
          </w:p>
        </w:tc>
      </w:tr>
      <w:tr w:rsidR="00282486" w:rsidRPr="00F44542" w14:paraId="6854B097" w14:textId="6686C2EC" w:rsidTr="0067504D">
        <w:trPr>
          <w:trHeight w:val="454"/>
          <w:jc w:val="center"/>
        </w:trPr>
        <w:tc>
          <w:tcPr>
            <w:tcW w:w="1469" w:type="dxa"/>
            <w:vAlign w:val="center"/>
          </w:tcPr>
          <w:p w14:paraId="1E69D0BF" w14:textId="7C5C48F8" w:rsidR="00282486" w:rsidRPr="00626AC3" w:rsidRDefault="00282486" w:rsidP="00626AC3">
            <w:pPr>
              <w:pStyle w:val="TableText"/>
            </w:pPr>
            <w:r w:rsidRPr="00626AC3">
              <w:t>2500kVA</w:t>
            </w:r>
          </w:p>
          <w:p w14:paraId="65B6A80C" w14:textId="0FC368A1" w:rsidR="00282486" w:rsidRPr="00626AC3" w:rsidRDefault="00282486" w:rsidP="00626AC3">
            <w:pPr>
              <w:pStyle w:val="TableText"/>
            </w:pPr>
            <w:r w:rsidRPr="00626AC3">
              <w:t>LC3 &amp; LC4</w:t>
            </w:r>
          </w:p>
        </w:tc>
        <w:tc>
          <w:tcPr>
            <w:tcW w:w="1770" w:type="dxa"/>
            <w:vAlign w:val="center"/>
          </w:tcPr>
          <w:p w14:paraId="2B59B338" w14:textId="6547AF67" w:rsidR="00282486" w:rsidRPr="00626AC3" w:rsidRDefault="00282486" w:rsidP="00626AC3">
            <w:pPr>
              <w:pStyle w:val="TableText"/>
            </w:pPr>
            <w:r w:rsidRPr="00626AC3">
              <w:t>2091.9 Amps</w:t>
            </w:r>
          </w:p>
        </w:tc>
        <w:tc>
          <w:tcPr>
            <w:tcW w:w="1216" w:type="dxa"/>
            <w:vAlign w:val="center"/>
          </w:tcPr>
          <w:p w14:paraId="2B3D4389" w14:textId="45E87CF0" w:rsidR="00282486" w:rsidRPr="00626AC3" w:rsidRDefault="00282486" w:rsidP="00626AC3">
            <w:pPr>
              <w:pStyle w:val="TableText"/>
            </w:pPr>
            <w:r w:rsidRPr="00626AC3">
              <w:t>14.20 kA</w:t>
            </w:r>
          </w:p>
        </w:tc>
        <w:tc>
          <w:tcPr>
            <w:tcW w:w="1390" w:type="dxa"/>
            <w:vAlign w:val="center"/>
          </w:tcPr>
          <w:p w14:paraId="00A14CB8" w14:textId="4A4B6C8C" w:rsidR="00282486" w:rsidRPr="00626AC3" w:rsidRDefault="00282486" w:rsidP="00626AC3">
            <w:pPr>
              <w:pStyle w:val="TableText"/>
            </w:pPr>
            <w:r w:rsidRPr="00626AC3">
              <w:t>6.8x</w:t>
            </w:r>
          </w:p>
        </w:tc>
      </w:tr>
    </w:tbl>
    <w:p w14:paraId="18655434" w14:textId="77777777" w:rsidR="005D0733" w:rsidRPr="00F44542" w:rsidRDefault="005D0733" w:rsidP="00626AC3"/>
    <w:p w14:paraId="025C15B4" w14:textId="4A27C2E2" w:rsidR="005D0733" w:rsidRPr="00F44542" w:rsidRDefault="004E780B" w:rsidP="00EC7368">
      <w:pPr>
        <w:pStyle w:val="Heading2"/>
      </w:pPr>
      <w:r>
        <w:t>Total h</w:t>
      </w:r>
      <w:r w:rsidR="002150DF" w:rsidRPr="00F44542">
        <w:t xml:space="preserve">armonic </w:t>
      </w:r>
      <w:r>
        <w:t>d</w:t>
      </w:r>
      <w:r w:rsidR="002150DF" w:rsidRPr="00F44542">
        <w:t>istortion</w:t>
      </w:r>
    </w:p>
    <w:p w14:paraId="21B94075" w14:textId="649C289B" w:rsidR="005D0733" w:rsidRPr="00F44542" w:rsidRDefault="002150DF" w:rsidP="00626AC3">
      <w:r w:rsidRPr="00F44542">
        <w:t>Power quality</w:t>
      </w:r>
      <w:r w:rsidR="0067504D" w:rsidRPr="00F44542">
        <w:t xml:space="preserve"> is a recurring challenge on</w:t>
      </w:r>
      <w:r w:rsidRPr="00F44542">
        <w:t xml:space="preserve"> islanded power system</w:t>
      </w:r>
      <w:r w:rsidR="0067504D" w:rsidRPr="00F44542">
        <w:t>s</w:t>
      </w:r>
      <w:r w:rsidRPr="00F44542">
        <w:t xml:space="preserve">, and it can be affected with the addition of power electronic converters. Ship specifications often </w:t>
      </w:r>
      <w:r w:rsidR="0067504D" w:rsidRPr="00F44542">
        <w:t>incorporate</w:t>
      </w:r>
      <w:r w:rsidRPr="00F44542">
        <w:t xml:space="preserve"> STANAG 1008 for the LV distribution</w:t>
      </w:r>
      <w:r w:rsidR="00F86B5A" w:rsidRPr="00F44542">
        <w:t xml:space="preserve"> (</w:t>
      </w:r>
      <w:r w:rsidR="001C0D1C" w:rsidRPr="00F44542">
        <w:t>up to</w:t>
      </w:r>
      <w:r w:rsidR="00F86B5A" w:rsidRPr="00F44542">
        <w:t xml:space="preserve"> 440V)</w:t>
      </w:r>
      <w:r w:rsidR="0067504D" w:rsidRPr="00F44542">
        <w:t xml:space="preserve"> and </w:t>
      </w:r>
      <w:r w:rsidR="001C0D1C" w:rsidRPr="00F44542">
        <w:t xml:space="preserve">whilst this doesn’t apply to the high power </w:t>
      </w:r>
      <w:r w:rsidRPr="00F44542">
        <w:t>LV generation system</w:t>
      </w:r>
      <w:r w:rsidR="00F86B5A" w:rsidRPr="00F44542">
        <w:t xml:space="preserve"> (</w:t>
      </w:r>
      <w:r w:rsidR="001C0D1C" w:rsidRPr="00F44542">
        <w:t>690V), t</w:t>
      </w:r>
      <w:r w:rsidRPr="00F44542">
        <w:t>he level of Total Harmonic Distortion (THD) should be minimised at the source to aid meeting the requirement</w:t>
      </w:r>
      <w:r w:rsidR="00F86B5A" w:rsidRPr="00F44542">
        <w:t xml:space="preserve"> downstream</w:t>
      </w:r>
      <w:r w:rsidRPr="00F44542">
        <w:t xml:space="preserve">. STANAG 1008 requires that the </w:t>
      </w:r>
      <w:r w:rsidR="00CD60D2" w:rsidRPr="00F44542">
        <w:t xml:space="preserve">THD on the </w:t>
      </w:r>
      <w:r w:rsidR="00F86B5A" w:rsidRPr="00F44542">
        <w:t>distribution</w:t>
      </w:r>
      <w:r w:rsidR="00CD60D2" w:rsidRPr="00F44542">
        <w:t xml:space="preserve"> system in any configuration must </w:t>
      </w:r>
      <w:r w:rsidR="00F86B5A" w:rsidRPr="00F44542">
        <w:t>be less than</w:t>
      </w:r>
      <w:r w:rsidR="00CD60D2" w:rsidRPr="00F44542">
        <w:t xml:space="preserve"> 5% with </w:t>
      </w:r>
      <w:r w:rsidRPr="00F44542">
        <w:t xml:space="preserve">a </w:t>
      </w:r>
      <w:r w:rsidR="00CD60D2" w:rsidRPr="00F44542">
        <w:t>single frequency</w:t>
      </w:r>
      <w:r w:rsidRPr="00F44542">
        <w:t xml:space="preserve"> </w:t>
      </w:r>
      <w:r w:rsidR="00CD60D2" w:rsidRPr="00F44542">
        <w:t>maximum of 3%</w:t>
      </w:r>
      <w:r w:rsidR="00F86B5A" w:rsidRPr="00F44542">
        <w:t>.</w:t>
      </w:r>
    </w:p>
    <w:p w14:paraId="2CC8451A" w14:textId="23D223E9" w:rsidR="00F16B42" w:rsidRPr="00F44542" w:rsidRDefault="00CD60D2" w:rsidP="00626AC3">
      <w:r w:rsidRPr="00F44542">
        <w:t xml:space="preserve">The </w:t>
      </w:r>
      <w:r w:rsidR="00F86B5A" w:rsidRPr="00F44542">
        <w:t xml:space="preserve">use of </w:t>
      </w:r>
      <w:r w:rsidRPr="00F44542">
        <w:t>AFE converters</w:t>
      </w:r>
      <w:r w:rsidR="00F86B5A" w:rsidRPr="00F44542">
        <w:t xml:space="preserve"> for the PTO generator, with a </w:t>
      </w:r>
      <w:r w:rsidRPr="00F44542">
        <w:t xml:space="preserve">carefully designed </w:t>
      </w:r>
      <w:r w:rsidR="00F86B5A" w:rsidRPr="00F44542">
        <w:t>network</w:t>
      </w:r>
      <w:r w:rsidRPr="00F44542">
        <w:t xml:space="preserve"> filter, </w:t>
      </w:r>
      <w:r w:rsidR="00F86B5A" w:rsidRPr="00F44542">
        <w:t xml:space="preserve">results in the production of a very high quality waveform. This results in an inherently </w:t>
      </w:r>
      <w:r w:rsidR="00C4610F" w:rsidRPr="00F44542">
        <w:t>low THD being produced, which allows a very high quality of power supply at the LV distribution level.</w:t>
      </w:r>
      <w:r w:rsidR="00F16B42" w:rsidRPr="00F44542">
        <w:t xml:space="preserve"> However the addition of 3</w:t>
      </w:r>
      <w:r w:rsidR="00F16B42" w:rsidRPr="00F44542">
        <w:rPr>
          <w:vertAlign w:val="superscript"/>
        </w:rPr>
        <w:t>rd</w:t>
      </w:r>
      <w:r w:rsidR="00F16B42" w:rsidRPr="00F44542">
        <w:t xml:space="preserve"> party </w:t>
      </w:r>
      <w:r w:rsidR="00F16B42" w:rsidRPr="00F44542">
        <w:lastRenderedPageBreak/>
        <w:t xml:space="preserve">converters, which may </w:t>
      </w:r>
      <w:r w:rsidR="001C0D1C" w:rsidRPr="00F44542">
        <w:t>be six-pulse or AFE with a</w:t>
      </w:r>
      <w:r w:rsidR="00F16B42" w:rsidRPr="00F44542">
        <w:t xml:space="preserve"> different switch</w:t>
      </w:r>
      <w:r w:rsidR="001C0D1C" w:rsidRPr="00F44542">
        <w:t>ing frequency and filter design</w:t>
      </w:r>
      <w:r w:rsidR="00F16B42" w:rsidRPr="00F44542">
        <w:t xml:space="preserve">, needs careful consideration to avoid interference and/or resonance which could </w:t>
      </w:r>
      <w:r w:rsidR="00DC0987" w:rsidRPr="00F44542">
        <w:t>in fac</w:t>
      </w:r>
      <w:r w:rsidR="0059757C" w:rsidRPr="00F44542">
        <w:t>t</w:t>
      </w:r>
      <w:r w:rsidR="00DC0987" w:rsidRPr="00F44542">
        <w:t xml:space="preserve"> lead</w:t>
      </w:r>
      <w:r w:rsidR="00F16B42" w:rsidRPr="00F44542">
        <w:t xml:space="preserve"> to increased harmonics.</w:t>
      </w:r>
    </w:p>
    <w:p w14:paraId="5AEA8678" w14:textId="74F6BB53" w:rsidR="005D0733" w:rsidRPr="00F44542" w:rsidRDefault="004E780B" w:rsidP="00EC7368">
      <w:pPr>
        <w:pStyle w:val="Heading2"/>
      </w:pPr>
      <w:r>
        <w:t>Earth f</w:t>
      </w:r>
      <w:r w:rsidR="00CD60D2" w:rsidRPr="00F44542">
        <w:t>ault</w:t>
      </w:r>
      <w:r w:rsidR="00B606DA" w:rsidRPr="00F44542">
        <w:t>s</w:t>
      </w:r>
    </w:p>
    <w:p w14:paraId="485AC83E" w14:textId="055351EF" w:rsidR="00B606DA" w:rsidRPr="00F44542" w:rsidRDefault="00DC0987" w:rsidP="00626AC3">
      <w:r w:rsidRPr="00F44542">
        <w:t>There are two</w:t>
      </w:r>
      <w:r w:rsidR="00F16B42" w:rsidRPr="00F44542">
        <w:t xml:space="preserve"> main issues </w:t>
      </w:r>
      <w:r w:rsidRPr="00F44542">
        <w:t xml:space="preserve">that </w:t>
      </w:r>
      <w:r w:rsidR="00F16B42" w:rsidRPr="00F44542">
        <w:t xml:space="preserve">are commonly experienced concerning earth faults in a hybrid power system: firstly </w:t>
      </w:r>
      <w:r w:rsidR="00393F24" w:rsidRPr="00F44542">
        <w:t>the resultant current flowing during an earth fault</w:t>
      </w:r>
      <w:r w:rsidRPr="00F44542">
        <w:t>, and secondly</w:t>
      </w:r>
      <w:r w:rsidR="00393F24" w:rsidRPr="00F44542">
        <w:t xml:space="preserve"> detecting the location of the earth fault.</w:t>
      </w:r>
      <w:r w:rsidR="008368BF" w:rsidRPr="00F44542">
        <w:t xml:space="preserve"> For an auxiliary support ship with tanker notation, the relevant regulations must be adhered to</w:t>
      </w:r>
      <w:r w:rsidR="0013231A" w:rsidRPr="00F44542">
        <w:t>:</w:t>
      </w:r>
      <w:r w:rsidR="008368BF" w:rsidRPr="00F44542">
        <w:t xml:space="preserve"> </w:t>
      </w:r>
      <w:r w:rsidR="00B606DA" w:rsidRPr="00F44542">
        <w:t>SOLAS regulations require the e</w:t>
      </w:r>
      <w:r w:rsidR="00CD60D2" w:rsidRPr="00F44542">
        <w:t xml:space="preserve">arth fault current for single earth fault </w:t>
      </w:r>
      <w:r w:rsidR="00B606DA" w:rsidRPr="00F44542">
        <w:t>to be limited to l</w:t>
      </w:r>
      <w:r w:rsidR="00CD60D2" w:rsidRPr="00F44542">
        <w:t>ess</w:t>
      </w:r>
      <w:r w:rsidR="00B606DA" w:rsidRPr="00F44542">
        <w:t xml:space="preserve"> than 5A. To meet this requirement the capacitance to ground in any part of the system</w:t>
      </w:r>
      <w:r w:rsidR="0013231A" w:rsidRPr="00F44542">
        <w:t xml:space="preserve"> should be </w:t>
      </w:r>
      <w:r w:rsidR="001C0D1C" w:rsidRPr="00F44542">
        <w:t>managed</w:t>
      </w:r>
      <w:r w:rsidR="0013231A" w:rsidRPr="00F44542">
        <w:t>. De</w:t>
      </w:r>
      <w:r w:rsidR="008368BF" w:rsidRPr="00F44542">
        <w:t xml:space="preserve">pending on the number of power electronic converters this might result in requiring changes to the filter design, which will cause an impact on the resultant THD. A careful trade-off </w:t>
      </w:r>
      <w:r w:rsidRPr="00F44542">
        <w:t xml:space="preserve">must be used requiring </w:t>
      </w:r>
      <w:r w:rsidR="008368BF" w:rsidRPr="00F44542">
        <w:t xml:space="preserve">in-depth understanding of the system </w:t>
      </w:r>
      <w:r w:rsidRPr="00F44542">
        <w:t>interaction</w:t>
      </w:r>
      <w:r w:rsidR="008368BF" w:rsidRPr="00F44542">
        <w:t>.</w:t>
      </w:r>
    </w:p>
    <w:p w14:paraId="3E5F97BA" w14:textId="114FF5DC" w:rsidR="00F16B42" w:rsidRPr="00F44542" w:rsidRDefault="0013231A" w:rsidP="00626AC3">
      <w:r w:rsidRPr="00F44542">
        <w:t>W</w:t>
      </w:r>
      <w:r w:rsidR="002C058F" w:rsidRPr="00F44542">
        <w:t>hen an earth fault occurs, the main task is to identify where on the power system it is so it can be quickly and easily isolated</w:t>
      </w:r>
      <w:r w:rsidR="00FE4D66" w:rsidRPr="00F44542">
        <w:t xml:space="preserve"> to clear the fault from the rest of the system</w:t>
      </w:r>
      <w:r w:rsidR="002C058F" w:rsidRPr="00F44542">
        <w:t>.</w:t>
      </w:r>
      <w:r w:rsidR="00FE4D66" w:rsidRPr="00F44542">
        <w:t xml:space="preserve"> Supporters of unearthed systems maintain that a system should be able to run with a single earth fault,</w:t>
      </w:r>
      <w:r w:rsidR="00F821C4" w:rsidRPr="00F44542">
        <w:t xml:space="preserve"> whilst this is credible for a 440V LV distribution system, it is impractical for a high power 690V system and </w:t>
      </w:r>
      <w:r w:rsidR="00FE4D66" w:rsidRPr="00F44542">
        <w:t xml:space="preserve">in practice should be avoided and the fault cleared as soon as </w:t>
      </w:r>
      <w:r w:rsidR="00F821C4" w:rsidRPr="00F44542">
        <w:t>possible</w:t>
      </w:r>
      <w:r w:rsidR="00FE4D66" w:rsidRPr="00F44542">
        <w:t xml:space="preserve">. The longer a single fault is left, the more likely the chance a second fault will </w:t>
      </w:r>
      <w:r w:rsidRPr="00F44542">
        <w:t>occur resulting</w:t>
      </w:r>
      <w:r w:rsidR="00FE4D66" w:rsidRPr="00F44542">
        <w:t xml:space="preserve"> in significantly higher current, with more damaging consequences (</w:t>
      </w:r>
      <w:r w:rsidR="00EC7368">
        <w:t>Meggs, 2013</w:t>
      </w:r>
      <w:r w:rsidR="00FE4D66" w:rsidRPr="00F44542">
        <w:t>). The initial solution to this is to fit c</w:t>
      </w:r>
      <w:r w:rsidR="002C058F" w:rsidRPr="00F44542">
        <w:t>ore balance cur</w:t>
      </w:r>
      <w:r w:rsidRPr="00F44542">
        <w:t xml:space="preserve">rent transformers </w:t>
      </w:r>
      <w:r w:rsidR="00FE4D66" w:rsidRPr="00F44542">
        <w:t xml:space="preserve">to the switchboard </w:t>
      </w:r>
      <w:r w:rsidRPr="00F44542">
        <w:t>and an</w:t>
      </w:r>
      <w:r w:rsidR="008B0D1D" w:rsidRPr="00F44542">
        <w:t xml:space="preserve"> earth f</w:t>
      </w:r>
      <w:r w:rsidRPr="00F44542">
        <w:t xml:space="preserve">ault detection system, which </w:t>
      </w:r>
      <w:r w:rsidR="00FE4D66" w:rsidRPr="00F44542">
        <w:t>allow</w:t>
      </w:r>
      <w:r w:rsidRPr="00F44542">
        <w:t>s</w:t>
      </w:r>
      <w:r w:rsidR="00FE4D66" w:rsidRPr="00F44542">
        <w:t xml:space="preserve"> the fault location to be identified and the relevant feeder isolated.</w:t>
      </w:r>
      <w:r w:rsidRPr="00F44542">
        <w:t xml:space="preserve"> A</w:t>
      </w:r>
      <w:r w:rsidR="00FE4D66" w:rsidRPr="00F44542">
        <w:t xml:space="preserve"> complication arises if the fault occurs within a converter</w:t>
      </w:r>
      <w:r w:rsidR="00991EB3" w:rsidRPr="00F44542">
        <w:t>,</w:t>
      </w:r>
      <w:r w:rsidR="00FE4D66" w:rsidRPr="00F44542">
        <w:t xml:space="preserve"> as d</w:t>
      </w:r>
      <w:r w:rsidR="00393F24" w:rsidRPr="00F44542">
        <w:t xml:space="preserve">etecting and isolating an earth fault </w:t>
      </w:r>
      <w:r w:rsidR="00FE4D66" w:rsidRPr="00F44542">
        <w:t>here</w:t>
      </w:r>
      <w:r w:rsidR="00393F24" w:rsidRPr="00F44542">
        <w:t xml:space="preserve"> requires specialist knowledge to ensure only the faulty drive </w:t>
      </w:r>
      <w:r w:rsidR="00991EB3" w:rsidRPr="00F44542">
        <w:t>is isolated</w:t>
      </w:r>
      <w:r w:rsidR="00393F24" w:rsidRPr="00F44542">
        <w:t xml:space="preserve"> and avoid any other nuisance tripping (</w:t>
      </w:r>
      <w:r w:rsidR="00EC7368">
        <w:t>Benatmane, 2016</w:t>
      </w:r>
      <w:r w:rsidR="00393F24" w:rsidRPr="00F44542">
        <w:t>).</w:t>
      </w:r>
    </w:p>
    <w:p w14:paraId="1E0DB9E4" w14:textId="392ED653" w:rsidR="006D77BE" w:rsidRPr="00F44542" w:rsidRDefault="004E780B" w:rsidP="00EC7368">
      <w:pPr>
        <w:pStyle w:val="Heading2"/>
      </w:pPr>
      <w:proofErr w:type="spellStart"/>
      <w:r>
        <w:t>Blackstart</w:t>
      </w:r>
      <w:proofErr w:type="spellEnd"/>
      <w:r>
        <w:t xml:space="preserve"> r</w:t>
      </w:r>
      <w:r w:rsidR="006D77BE" w:rsidRPr="00F44542">
        <w:t>ecovery</w:t>
      </w:r>
    </w:p>
    <w:p w14:paraId="3A2B0D18" w14:textId="7459FB7D" w:rsidR="00FE7EB2" w:rsidRPr="00F44542" w:rsidRDefault="00CB0BEE" w:rsidP="00626AC3">
      <w:r w:rsidRPr="00F44542">
        <w:t>Another</w:t>
      </w:r>
      <w:r w:rsidR="009A3518" w:rsidRPr="00F44542">
        <w:t xml:space="preserve"> challenge is </w:t>
      </w:r>
      <w:r w:rsidR="00597913" w:rsidRPr="00F44542">
        <w:t xml:space="preserve">using the PTO generators for </w:t>
      </w:r>
      <w:proofErr w:type="spellStart"/>
      <w:r w:rsidR="003C347E" w:rsidRPr="00F44542">
        <w:t>b</w:t>
      </w:r>
      <w:r w:rsidR="00597913" w:rsidRPr="00F44542">
        <w:t>lackstart</w:t>
      </w:r>
      <w:proofErr w:type="spellEnd"/>
      <w:r w:rsidR="00597913" w:rsidRPr="00F44542">
        <w:t xml:space="preserve"> recovery operation, whereby the entire ship has lost power and the </w:t>
      </w:r>
      <w:r w:rsidRPr="00F44542">
        <w:t>h</w:t>
      </w:r>
      <w:r w:rsidR="00597913" w:rsidRPr="00F44542">
        <w:t xml:space="preserve">ybrid system is used to </w:t>
      </w:r>
      <w:r w:rsidR="00F95D43" w:rsidRPr="00F44542">
        <w:t>restore</w:t>
      </w:r>
      <w:r w:rsidR="00597913" w:rsidRPr="00F44542">
        <w:t xml:space="preserve"> power. This could be the case operationally if the DGs </w:t>
      </w:r>
      <w:r w:rsidR="00DB09B5" w:rsidRPr="00F44542">
        <w:t xml:space="preserve">are </w:t>
      </w:r>
      <w:r w:rsidR="00597913" w:rsidRPr="00F44542">
        <w:t>unavailable.</w:t>
      </w:r>
      <w:r w:rsidR="0076067A" w:rsidRPr="00F44542">
        <w:t xml:space="preserve"> </w:t>
      </w:r>
      <w:r w:rsidR="00DB09B5" w:rsidRPr="00F44542">
        <w:t>If</w:t>
      </w:r>
      <w:r w:rsidR="0076067A" w:rsidRPr="00F44542">
        <w:t xml:space="preserve"> an </w:t>
      </w:r>
      <w:r w:rsidRPr="00F44542">
        <w:t>i</w:t>
      </w:r>
      <w:r w:rsidR="0076067A" w:rsidRPr="00F44542">
        <w:t xml:space="preserve">nduction machine is used for the </w:t>
      </w:r>
      <w:r w:rsidRPr="00F44542">
        <w:t>h</w:t>
      </w:r>
      <w:r w:rsidR="00DB09B5" w:rsidRPr="00F44542">
        <w:t>ybrid</w:t>
      </w:r>
      <w:r w:rsidR="0076067A" w:rsidRPr="00F44542">
        <w:t xml:space="preserve"> it cause</w:t>
      </w:r>
      <w:r w:rsidR="00DB09B5" w:rsidRPr="00F44542">
        <w:t>s</w:t>
      </w:r>
      <w:r w:rsidR="0076067A" w:rsidRPr="00F44542">
        <w:t xml:space="preserve"> a challenge when it comes to </w:t>
      </w:r>
      <w:proofErr w:type="spellStart"/>
      <w:r w:rsidR="003C347E" w:rsidRPr="00F44542">
        <w:t>b</w:t>
      </w:r>
      <w:r w:rsidR="00DB09B5" w:rsidRPr="00F44542">
        <w:t>lackstart</w:t>
      </w:r>
      <w:proofErr w:type="spellEnd"/>
      <w:r w:rsidR="00DB09B5" w:rsidRPr="00F44542">
        <w:t xml:space="preserve"> recovery. An i</w:t>
      </w:r>
      <w:r w:rsidR="0076067A" w:rsidRPr="00F44542">
        <w:t xml:space="preserve">nduction machine requires excitation </w:t>
      </w:r>
      <w:r w:rsidR="00741CDF" w:rsidRPr="00F44542">
        <w:t>voltage</w:t>
      </w:r>
      <w:r w:rsidR="0076067A" w:rsidRPr="00F44542">
        <w:t xml:space="preserve"> to be applied for magnetising before it can produce power. Normally when the </w:t>
      </w:r>
      <w:r w:rsidRPr="00F44542">
        <w:t>h</w:t>
      </w:r>
      <w:r w:rsidR="0076067A" w:rsidRPr="00F44542">
        <w:t xml:space="preserve">ybrids become PTO generators this </w:t>
      </w:r>
      <w:r w:rsidR="00741CDF" w:rsidRPr="00F44542">
        <w:t>voltage</w:t>
      </w:r>
      <w:r w:rsidR="0076067A" w:rsidRPr="00F44542">
        <w:t xml:space="preserve"> can be </w:t>
      </w:r>
      <w:r w:rsidR="00741CDF" w:rsidRPr="00F44542">
        <w:t xml:space="preserve">simply </w:t>
      </w:r>
      <w:r w:rsidR="0076067A" w:rsidRPr="00F44542">
        <w:t xml:space="preserve">provided by the converter which is connected to a live distribution network (fed by the DGs). In a blackout situation this is not possible and so a restart module </w:t>
      </w:r>
      <w:r w:rsidRPr="00F44542">
        <w:t>is needed</w:t>
      </w:r>
      <w:r w:rsidR="00142E8D" w:rsidRPr="00F44542">
        <w:t xml:space="preserve"> to connect to the </w:t>
      </w:r>
      <w:r w:rsidRPr="00F44542">
        <w:t>h</w:t>
      </w:r>
      <w:r w:rsidR="00142E8D" w:rsidRPr="00F44542">
        <w:t xml:space="preserve">ybrid converter. </w:t>
      </w:r>
    </w:p>
    <w:p w14:paraId="5DA0AE4F" w14:textId="36C5B44F" w:rsidR="00A44E05" w:rsidRPr="00F44542" w:rsidRDefault="00CB0BEE" w:rsidP="00626AC3">
      <w:r w:rsidRPr="00F44542">
        <w:t>The required</w:t>
      </w:r>
      <w:r w:rsidR="00FE7EB2" w:rsidRPr="00F44542">
        <w:t xml:space="preserve"> restart</w:t>
      </w:r>
      <w:r w:rsidR="00142E8D" w:rsidRPr="00F44542">
        <w:t xml:space="preserve"> module comprises of a small rectifier fed from the emergency switchboard connected </w:t>
      </w:r>
      <w:r w:rsidR="003C347E" w:rsidRPr="00F44542">
        <w:t xml:space="preserve">directly </w:t>
      </w:r>
      <w:r w:rsidR="00142E8D" w:rsidRPr="00F44542">
        <w:t xml:space="preserve">to the DC link of the </w:t>
      </w:r>
      <w:r w:rsidR="00DB09B5" w:rsidRPr="00F44542">
        <w:t>h</w:t>
      </w:r>
      <w:r w:rsidR="00142E8D" w:rsidRPr="00F44542">
        <w:t xml:space="preserve">ybrid converter. </w:t>
      </w:r>
      <w:r w:rsidR="00423345" w:rsidRPr="00F44542">
        <w:rPr>
          <w:color w:val="auto"/>
        </w:rPr>
        <w:fldChar w:fldCharType="begin"/>
      </w:r>
      <w:r w:rsidR="00423345" w:rsidRPr="00F44542">
        <w:rPr>
          <w:color w:val="auto"/>
        </w:rPr>
        <w:instrText xml:space="preserve"> REF _Ref440030630  \* MERGEFORMAT </w:instrText>
      </w:r>
      <w:r w:rsidR="00423345" w:rsidRPr="00F44542">
        <w:rPr>
          <w:color w:val="auto"/>
        </w:rPr>
        <w:fldChar w:fldCharType="separate"/>
      </w:r>
      <w:r w:rsidR="00EC7368" w:rsidRPr="00EC7368">
        <w:t xml:space="preserve">Figure </w:t>
      </w:r>
      <w:r w:rsidR="00EC7368" w:rsidRPr="00EC7368">
        <w:rPr>
          <w:noProof/>
        </w:rPr>
        <w:t>6</w:t>
      </w:r>
      <w:r w:rsidR="00423345" w:rsidRPr="00F44542">
        <w:rPr>
          <w:color w:val="auto"/>
        </w:rPr>
        <w:fldChar w:fldCharType="end"/>
      </w:r>
      <w:r w:rsidR="00423345" w:rsidRPr="00F44542">
        <w:rPr>
          <w:color w:val="auto"/>
        </w:rPr>
        <w:t xml:space="preserve"> shows traces, with the main points marked, from actual testing of the system at GE’s Marine Power Test Facility at Whetstone. </w:t>
      </w:r>
      <w:r w:rsidR="00F85DEA" w:rsidRPr="00F44542">
        <w:rPr>
          <w:color w:val="auto"/>
        </w:rPr>
        <w:t>T</w:t>
      </w:r>
      <w:r w:rsidR="00423345" w:rsidRPr="00F44542">
        <w:t>he restart module</w:t>
      </w:r>
      <w:r w:rsidR="00142E8D" w:rsidRPr="00F44542">
        <w:t xml:space="preserve"> </w:t>
      </w:r>
      <w:r w:rsidR="00F85DEA" w:rsidRPr="00F44542">
        <w:t xml:space="preserve">initially </w:t>
      </w:r>
      <w:r w:rsidR="00741CDF" w:rsidRPr="00F44542">
        <w:t xml:space="preserve">energises the DC link </w:t>
      </w:r>
      <w:r w:rsidR="00423345" w:rsidRPr="00F44542">
        <w:t>(</w:t>
      </w:r>
      <w:r w:rsidR="00F85DEA" w:rsidRPr="00F44542">
        <w:t xml:space="preserve">Point A to </w:t>
      </w:r>
      <w:r w:rsidR="00423345" w:rsidRPr="00F44542">
        <w:t xml:space="preserve">Point </w:t>
      </w:r>
      <w:r w:rsidR="00F85DEA" w:rsidRPr="00F44542">
        <w:t>B</w:t>
      </w:r>
      <w:r w:rsidR="00423345" w:rsidRPr="00F44542">
        <w:t xml:space="preserve">) </w:t>
      </w:r>
      <w:r w:rsidR="00741CDF" w:rsidRPr="00F44542">
        <w:t xml:space="preserve">so the machine bridge of the drive can provide </w:t>
      </w:r>
      <w:r w:rsidR="00F85DEA" w:rsidRPr="00F44542">
        <w:t xml:space="preserve">sufficient </w:t>
      </w:r>
      <w:r w:rsidR="00741CDF" w:rsidRPr="00F44542">
        <w:t>volts to</w:t>
      </w:r>
      <w:r w:rsidR="003C347E" w:rsidRPr="00F44542">
        <w:t xml:space="preserve"> energise</w:t>
      </w:r>
      <w:r w:rsidR="00741CDF" w:rsidRPr="00F44542">
        <w:t xml:space="preserve"> the </w:t>
      </w:r>
      <w:r w:rsidRPr="00F44542">
        <w:t>i</w:t>
      </w:r>
      <w:r w:rsidR="00741CDF" w:rsidRPr="00F44542">
        <w:t>nduction machine</w:t>
      </w:r>
      <w:r w:rsidR="00F85DEA" w:rsidRPr="00F44542">
        <w:t xml:space="preserve"> (the corresponding magnetisation current is shown at Point C)</w:t>
      </w:r>
      <w:r w:rsidR="00741CDF" w:rsidRPr="00F44542">
        <w:t xml:space="preserve">. The </w:t>
      </w:r>
      <w:r w:rsidRPr="00F44542">
        <w:t>h</w:t>
      </w:r>
      <w:r w:rsidR="00741CDF" w:rsidRPr="00F44542">
        <w:t xml:space="preserve">ybrid machine </w:t>
      </w:r>
      <w:r w:rsidR="003C347E" w:rsidRPr="00F44542">
        <w:t>will have been</w:t>
      </w:r>
      <w:r w:rsidR="00741CDF" w:rsidRPr="00F44542">
        <w:t xml:space="preserve"> driven by the </w:t>
      </w:r>
      <w:r w:rsidR="00DB09B5" w:rsidRPr="00F44542">
        <w:t>main diesel engine (MDE)</w:t>
      </w:r>
      <w:r w:rsidR="00741CDF" w:rsidRPr="00F44542">
        <w:t xml:space="preserve"> up</w:t>
      </w:r>
      <w:r w:rsidRPr="00F44542">
        <w:t xml:space="preserve"> to speed (the MDE fuel pumps are battery backup</w:t>
      </w:r>
      <w:r w:rsidR="00741CDF" w:rsidRPr="00F44542">
        <w:t xml:space="preserve"> fed)</w:t>
      </w:r>
      <w:r w:rsidRPr="00F44542">
        <w:t>,</w:t>
      </w:r>
      <w:r w:rsidR="00741CDF" w:rsidRPr="00F44542">
        <w:t xml:space="preserve"> and by use of an encoder the machine bridge </w:t>
      </w:r>
      <w:r w:rsidR="003C347E" w:rsidRPr="00F44542">
        <w:t xml:space="preserve">can synchronise its output to the rotating machine. Once this occurs active power can be taken from the PTO generator </w:t>
      </w:r>
      <w:r w:rsidR="00F85DEA" w:rsidRPr="00F44542">
        <w:t>and the machine bridge can boost the</w:t>
      </w:r>
      <w:r w:rsidR="003C347E" w:rsidRPr="00F44542">
        <w:t xml:space="preserve"> DC link</w:t>
      </w:r>
      <w:r w:rsidR="00F85DEA" w:rsidRPr="00F44542">
        <w:t xml:space="preserve"> to rated volts</w:t>
      </w:r>
      <w:r w:rsidR="00423345" w:rsidRPr="00F44542">
        <w:t xml:space="preserve"> (Point </w:t>
      </w:r>
      <w:r w:rsidR="00F85DEA" w:rsidRPr="00F44542">
        <w:t>D</w:t>
      </w:r>
      <w:r w:rsidR="00423345" w:rsidRPr="00F44542">
        <w:t>)</w:t>
      </w:r>
      <w:r w:rsidRPr="00F44542">
        <w:t>,</w:t>
      </w:r>
      <w:r w:rsidR="003C347E" w:rsidRPr="00F44542">
        <w:t xml:space="preserve"> </w:t>
      </w:r>
      <w:r w:rsidR="00205C35" w:rsidRPr="00F44542">
        <w:t>which allows the</w:t>
      </w:r>
      <w:r w:rsidR="00F85DEA" w:rsidRPr="00F44542">
        <w:t xml:space="preserve"> machine flux </w:t>
      </w:r>
      <w:r w:rsidR="00205C35" w:rsidRPr="00F44542">
        <w:t>to</w:t>
      </w:r>
      <w:r w:rsidR="00F85DEA" w:rsidRPr="00F44542">
        <w:t xml:space="preserve"> be increased up to its nominal value (Point E to Point F). </w:t>
      </w:r>
      <w:r w:rsidR="00205C35" w:rsidRPr="00F44542">
        <w:rPr>
          <w:color w:val="auto"/>
        </w:rPr>
        <w:t xml:space="preserve">The process to get the DC link and machine side up to rated volts takes approximately twelve seconds. </w:t>
      </w:r>
      <w:r w:rsidR="00F85DEA" w:rsidRPr="00F44542">
        <w:t xml:space="preserve">Then all that is left is for </w:t>
      </w:r>
      <w:r w:rsidR="003C347E" w:rsidRPr="00F44542">
        <w:t xml:space="preserve">the network bridge of the drive </w:t>
      </w:r>
      <w:r w:rsidR="00F85DEA" w:rsidRPr="00F44542">
        <w:t>to</w:t>
      </w:r>
      <w:r w:rsidR="003C347E" w:rsidRPr="00F44542">
        <w:t xml:space="preserve"> </w:t>
      </w:r>
      <w:r w:rsidR="00F85DEA" w:rsidRPr="00F44542">
        <w:t xml:space="preserve">control the </w:t>
      </w:r>
      <w:r w:rsidR="003C347E" w:rsidRPr="00F44542">
        <w:t>pre-charg</w:t>
      </w:r>
      <w:r w:rsidR="00F85DEA" w:rsidRPr="00F44542">
        <w:t xml:space="preserve">ing of </w:t>
      </w:r>
      <w:r w:rsidR="003C347E" w:rsidRPr="00F44542">
        <w:t xml:space="preserve">the </w:t>
      </w:r>
      <w:r w:rsidR="00DB09B5" w:rsidRPr="00F44542">
        <w:t>network</w:t>
      </w:r>
      <w:r w:rsidR="00FE7EB2" w:rsidRPr="00F44542">
        <w:t xml:space="preserve"> </w:t>
      </w:r>
      <w:r w:rsidR="003C347E" w:rsidRPr="00F44542">
        <w:t>filter</w:t>
      </w:r>
      <w:r w:rsidR="00F85DEA" w:rsidRPr="00F44542">
        <w:t xml:space="preserve"> (Not Shown)</w:t>
      </w:r>
      <w:r w:rsidR="003C347E" w:rsidRPr="00F44542">
        <w:t xml:space="preserve">. Once </w:t>
      </w:r>
      <w:r w:rsidR="00DB09B5" w:rsidRPr="00F44542">
        <w:t xml:space="preserve">these steps are completed </w:t>
      </w:r>
      <w:r w:rsidR="003C347E" w:rsidRPr="00F44542">
        <w:t>the main brea</w:t>
      </w:r>
      <w:r w:rsidR="003C347E" w:rsidRPr="00F44542">
        <w:rPr>
          <w:color w:val="auto"/>
        </w:rPr>
        <w:t xml:space="preserve">ker </w:t>
      </w:r>
      <w:r w:rsidR="00DB09B5" w:rsidRPr="00F44542">
        <w:rPr>
          <w:color w:val="auto"/>
        </w:rPr>
        <w:t xml:space="preserve">is allowed </w:t>
      </w:r>
      <w:r w:rsidR="003C347E" w:rsidRPr="00F44542">
        <w:rPr>
          <w:color w:val="auto"/>
        </w:rPr>
        <w:t xml:space="preserve">to be closed, thus energising the distribution network and completing the </w:t>
      </w:r>
      <w:proofErr w:type="spellStart"/>
      <w:r w:rsidR="003C347E" w:rsidRPr="00F44542">
        <w:rPr>
          <w:color w:val="auto"/>
        </w:rPr>
        <w:t>blackstart</w:t>
      </w:r>
      <w:proofErr w:type="spellEnd"/>
      <w:r w:rsidR="003C347E" w:rsidRPr="00F44542">
        <w:rPr>
          <w:color w:val="auto"/>
        </w:rPr>
        <w:t xml:space="preserve"> operation.</w:t>
      </w:r>
      <w:r w:rsidR="00FE7EB2" w:rsidRPr="00F44542">
        <w:rPr>
          <w:color w:val="auto"/>
        </w:rPr>
        <w:t xml:space="preserve"> </w:t>
      </w:r>
      <w:r w:rsidR="00F95D43" w:rsidRPr="00F44542">
        <w:rPr>
          <w:color w:val="auto"/>
        </w:rPr>
        <w:t>This restart module has been successfully installed in both the MARS Tankers and Norwegian LSV.</w:t>
      </w:r>
    </w:p>
    <w:p w14:paraId="744A4533" w14:textId="77777777" w:rsidR="00523AEF" w:rsidRPr="00F44542" w:rsidRDefault="00523AEF" w:rsidP="00626AC3"/>
    <w:p w14:paraId="5BF0C385" w14:textId="27DEA215" w:rsidR="003C347E" w:rsidRPr="00F44542" w:rsidRDefault="00F85DEA" w:rsidP="00626AC3">
      <w:pPr>
        <w:pStyle w:val="Figure"/>
      </w:pPr>
      <w:r w:rsidRPr="00F44542">
        <w:lastRenderedPageBreak/>
        <w:drawing>
          <wp:inline distT="0" distB="0" distL="0" distR="0" wp14:anchorId="415D2B9C" wp14:editId="392C693B">
            <wp:extent cx="5400000" cy="307960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0" cy="3079609"/>
                    </a:xfrm>
                    <a:prstGeom prst="rect">
                      <a:avLst/>
                    </a:prstGeom>
                    <a:noFill/>
                    <a:ln>
                      <a:noFill/>
                    </a:ln>
                  </pic:spPr>
                </pic:pic>
              </a:graphicData>
            </a:graphic>
          </wp:inline>
        </w:drawing>
      </w:r>
    </w:p>
    <w:p w14:paraId="4CC71CAD" w14:textId="0DB0FFB4" w:rsidR="00FE7EB2" w:rsidRPr="00F44542" w:rsidRDefault="00FE7EB2" w:rsidP="008E3A0D">
      <w:pPr>
        <w:pStyle w:val="Caption"/>
        <w:rPr>
          <w:color w:val="FF0000"/>
        </w:rPr>
      </w:pPr>
      <w:bookmarkStart w:id="6" w:name="_Ref440030630"/>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6</w:t>
      </w:r>
      <w:r w:rsidR="00CA4C92">
        <w:rPr>
          <w:noProof/>
        </w:rPr>
        <w:fldChar w:fldCharType="end"/>
      </w:r>
      <w:bookmarkEnd w:id="6"/>
      <w:r w:rsidRPr="00F44542">
        <w:t xml:space="preserve">: </w:t>
      </w:r>
      <w:r w:rsidR="008D231F" w:rsidRPr="00F44542">
        <w:t xml:space="preserve">Trace </w:t>
      </w:r>
      <w:r w:rsidR="00391157" w:rsidRPr="00F44542">
        <w:t>of Black-Start Recovery Testing</w:t>
      </w:r>
    </w:p>
    <w:p w14:paraId="2AE803CF" w14:textId="3523100B" w:rsidR="00602442" w:rsidRPr="00F44542" w:rsidRDefault="00523AEF" w:rsidP="00EC7368">
      <w:pPr>
        <w:pStyle w:val="Heading2"/>
      </w:pPr>
      <w:r w:rsidRPr="00F44542">
        <w:t xml:space="preserve"> </w:t>
      </w:r>
      <w:r w:rsidR="00F95D43" w:rsidRPr="00F44542">
        <w:t>Avoiding</w:t>
      </w:r>
      <w:r w:rsidR="006D77BE" w:rsidRPr="00F44542">
        <w:t xml:space="preserve"> </w:t>
      </w:r>
      <w:r w:rsidR="004E780B">
        <w:t>h</w:t>
      </w:r>
      <w:r w:rsidR="00E61F47" w:rsidRPr="00F44542">
        <w:t xml:space="preserve">ybrid </w:t>
      </w:r>
      <w:r w:rsidR="004E780B">
        <w:t>c</w:t>
      </w:r>
      <w:r w:rsidR="006D77BE" w:rsidRPr="00F44542">
        <w:t>onverter</w:t>
      </w:r>
      <w:r w:rsidR="00E61F47" w:rsidRPr="00F44542">
        <w:t xml:space="preserve"> </w:t>
      </w:r>
      <w:r w:rsidR="004E780B">
        <w:t>t</w:t>
      </w:r>
      <w:r w:rsidR="00F95D43" w:rsidRPr="00F44542">
        <w:t>rips</w:t>
      </w:r>
    </w:p>
    <w:p w14:paraId="348B14E4" w14:textId="145A4E56" w:rsidR="008D231F" w:rsidRPr="00F44542" w:rsidRDefault="00C84BD4" w:rsidP="00626AC3">
      <w:pPr>
        <w:rPr>
          <w:lang w:eastAsia="en-GB"/>
        </w:rPr>
      </w:pPr>
      <w:r w:rsidRPr="00F44542">
        <w:rPr>
          <w:lang w:eastAsia="en-GB"/>
        </w:rPr>
        <w:t>There is a history of converters protecting themselves from a faulty distribution network by tripping, however this philosophy cannot be followed when the converter is acting</w:t>
      </w:r>
      <w:r w:rsidR="006E65C1" w:rsidRPr="00F44542">
        <w:rPr>
          <w:lang w:eastAsia="en-GB"/>
        </w:rPr>
        <w:t xml:space="preserve"> as</w:t>
      </w:r>
      <w:r w:rsidRPr="00F44542">
        <w:rPr>
          <w:lang w:eastAsia="en-GB"/>
        </w:rPr>
        <w:t xml:space="preserve"> the power source (i.e. the PTO generator). For example, there </w:t>
      </w:r>
      <w:r w:rsidR="00430C03" w:rsidRPr="00F44542">
        <w:rPr>
          <w:lang w:eastAsia="en-GB"/>
        </w:rPr>
        <w:t xml:space="preserve">may exist a significant fault that causes a potential fault current greater than the </w:t>
      </w:r>
      <w:r w:rsidR="00CB0BEE" w:rsidRPr="00F44542">
        <w:rPr>
          <w:lang w:eastAsia="en-GB"/>
        </w:rPr>
        <w:t>h</w:t>
      </w:r>
      <w:r w:rsidR="00430C03" w:rsidRPr="00F44542">
        <w:rPr>
          <w:lang w:eastAsia="en-GB"/>
        </w:rPr>
        <w:t>ybrid converter’s maximum overload capability. Conventionally in this situation the converter would tr</w:t>
      </w:r>
      <w:r w:rsidRPr="00F44542">
        <w:rPr>
          <w:lang w:eastAsia="en-GB"/>
        </w:rPr>
        <w:t xml:space="preserve">ip and shutdown </w:t>
      </w:r>
      <w:r w:rsidR="00430C03" w:rsidRPr="00F44542">
        <w:rPr>
          <w:lang w:eastAsia="en-GB"/>
        </w:rPr>
        <w:t xml:space="preserve">requiring </w:t>
      </w:r>
      <w:r w:rsidR="008D231F" w:rsidRPr="00F44542">
        <w:rPr>
          <w:lang w:eastAsia="en-GB"/>
        </w:rPr>
        <w:t xml:space="preserve">an operator to reset the controller and </w:t>
      </w:r>
      <w:r w:rsidR="00430C03" w:rsidRPr="00F44542">
        <w:rPr>
          <w:lang w:eastAsia="en-GB"/>
        </w:rPr>
        <w:t>bring it back online</w:t>
      </w:r>
      <w:r w:rsidR="008D231F" w:rsidRPr="00F44542">
        <w:rPr>
          <w:lang w:eastAsia="en-GB"/>
        </w:rPr>
        <w:t xml:space="preserve"> – a potentially lengthy event, and one that depending on the current operational scenario might have a major impact on the situation.</w:t>
      </w:r>
      <w:r w:rsidR="006E65C1" w:rsidRPr="00F44542">
        <w:rPr>
          <w:lang w:eastAsia="en-GB"/>
        </w:rPr>
        <w:t xml:space="preserve"> </w:t>
      </w:r>
      <w:r w:rsidR="008D231F" w:rsidRPr="00F44542">
        <w:rPr>
          <w:lang w:eastAsia="en-GB"/>
        </w:rPr>
        <w:t xml:space="preserve">A solution to this has been developed using a technology transfer from the </w:t>
      </w:r>
      <w:r w:rsidR="00CB0BEE" w:rsidRPr="00F44542">
        <w:rPr>
          <w:lang w:eastAsia="en-GB"/>
        </w:rPr>
        <w:t>w</w:t>
      </w:r>
      <w:r w:rsidR="008D231F" w:rsidRPr="00F44542">
        <w:rPr>
          <w:lang w:eastAsia="en-GB"/>
        </w:rPr>
        <w:t xml:space="preserve">ind renewables application. The power system network operator (the National Grid in the UK) </w:t>
      </w:r>
      <w:r w:rsidR="0034749D" w:rsidRPr="00F44542">
        <w:rPr>
          <w:lang w:eastAsia="en-GB"/>
        </w:rPr>
        <w:t>set restrict</w:t>
      </w:r>
      <w:r w:rsidR="00CB0BEE" w:rsidRPr="00F44542">
        <w:rPr>
          <w:lang w:eastAsia="en-GB"/>
        </w:rPr>
        <w:t>ions on when a converter for a w</w:t>
      </w:r>
      <w:r w:rsidR="0034749D" w:rsidRPr="00F44542">
        <w:rPr>
          <w:lang w:eastAsia="en-GB"/>
        </w:rPr>
        <w:t>ind-</w:t>
      </w:r>
      <w:r w:rsidR="00CB0BEE" w:rsidRPr="00F44542">
        <w:rPr>
          <w:lang w:eastAsia="en-GB"/>
        </w:rPr>
        <w:t>t</w:t>
      </w:r>
      <w:r w:rsidR="0034749D" w:rsidRPr="00F44542">
        <w:rPr>
          <w:lang w:eastAsia="en-GB"/>
        </w:rPr>
        <w:t>urbine is allowed to trip – that is they have identified a range of grid faults through whic</w:t>
      </w:r>
      <w:r w:rsidRPr="00F44542">
        <w:rPr>
          <w:lang w:eastAsia="en-GB"/>
        </w:rPr>
        <w:t xml:space="preserve">h the system must remain connected, known as grid fault ride-through. </w:t>
      </w:r>
      <w:r w:rsidR="0034749D" w:rsidRPr="00F44542">
        <w:rPr>
          <w:lang w:eastAsia="en-GB"/>
        </w:rPr>
        <w:t xml:space="preserve">To meet these requirements a process </w:t>
      </w:r>
      <w:r w:rsidRPr="00F44542">
        <w:rPr>
          <w:lang w:eastAsia="en-GB"/>
        </w:rPr>
        <w:t>of</w:t>
      </w:r>
      <w:r w:rsidR="0034749D" w:rsidRPr="00F44542">
        <w:rPr>
          <w:lang w:eastAsia="en-GB"/>
        </w:rPr>
        <w:t xml:space="preserve"> </w:t>
      </w:r>
      <w:r w:rsidR="00CB0BEE" w:rsidRPr="00F44542">
        <w:rPr>
          <w:lang w:eastAsia="en-GB"/>
        </w:rPr>
        <w:t>c</w:t>
      </w:r>
      <w:r w:rsidR="0034749D" w:rsidRPr="00F44542">
        <w:rPr>
          <w:lang w:eastAsia="en-GB"/>
        </w:rPr>
        <w:t xml:space="preserve">urrent </w:t>
      </w:r>
      <w:r w:rsidRPr="00F44542">
        <w:rPr>
          <w:lang w:eastAsia="en-GB"/>
        </w:rPr>
        <w:t>management</w:t>
      </w:r>
      <w:r w:rsidR="0034749D" w:rsidRPr="00F44542">
        <w:rPr>
          <w:lang w:eastAsia="en-GB"/>
        </w:rPr>
        <w:t xml:space="preserve"> has been applied in the controller software </w:t>
      </w:r>
      <w:r w:rsidRPr="00F44542">
        <w:rPr>
          <w:lang w:eastAsia="en-GB"/>
        </w:rPr>
        <w:t>code</w:t>
      </w:r>
      <w:r w:rsidR="0034749D" w:rsidRPr="00F44542">
        <w:rPr>
          <w:lang w:eastAsia="en-GB"/>
        </w:rPr>
        <w:t xml:space="preserve"> and this has now also been applied to the </w:t>
      </w:r>
      <w:r w:rsidR="00CB0BEE" w:rsidRPr="00F44542">
        <w:rPr>
          <w:lang w:eastAsia="en-GB"/>
        </w:rPr>
        <w:t>h</w:t>
      </w:r>
      <w:r w:rsidR="0034749D" w:rsidRPr="00F44542">
        <w:rPr>
          <w:lang w:eastAsia="en-GB"/>
        </w:rPr>
        <w:t xml:space="preserve">ybrid PTO </w:t>
      </w:r>
      <w:r w:rsidR="00CB0BEE" w:rsidRPr="00F44542">
        <w:rPr>
          <w:lang w:eastAsia="en-GB"/>
        </w:rPr>
        <w:t>m</w:t>
      </w:r>
      <w:r w:rsidR="0034749D" w:rsidRPr="00F44542">
        <w:rPr>
          <w:lang w:eastAsia="en-GB"/>
        </w:rPr>
        <w:t>arine application.</w:t>
      </w:r>
    </w:p>
    <w:p w14:paraId="6851D14C" w14:textId="77777777" w:rsidR="00205C35" w:rsidRPr="00F44542" w:rsidRDefault="006E65C1" w:rsidP="00626AC3">
      <w:pPr>
        <w:rPr>
          <w:lang w:eastAsia="en-GB"/>
        </w:rPr>
      </w:pPr>
      <w:r w:rsidRPr="00F44542">
        <w:rPr>
          <w:lang w:eastAsia="en-GB"/>
        </w:rPr>
        <w:t>T</w:t>
      </w:r>
      <w:r w:rsidR="0034749D" w:rsidRPr="00F44542">
        <w:rPr>
          <w:lang w:eastAsia="en-GB"/>
        </w:rPr>
        <w:t xml:space="preserve">he exact methods of </w:t>
      </w:r>
      <w:r w:rsidR="00CB0BEE" w:rsidRPr="00F44542">
        <w:rPr>
          <w:lang w:eastAsia="en-GB"/>
        </w:rPr>
        <w:t>c</w:t>
      </w:r>
      <w:r w:rsidR="0034749D" w:rsidRPr="00F44542">
        <w:rPr>
          <w:lang w:eastAsia="en-GB"/>
        </w:rPr>
        <w:t xml:space="preserve">urrent </w:t>
      </w:r>
      <w:r w:rsidR="00C84BD4" w:rsidRPr="00F44542">
        <w:rPr>
          <w:lang w:eastAsia="en-GB"/>
        </w:rPr>
        <w:t xml:space="preserve">management </w:t>
      </w:r>
      <w:r w:rsidR="0034749D" w:rsidRPr="00F44542">
        <w:rPr>
          <w:lang w:eastAsia="en-GB"/>
        </w:rPr>
        <w:t xml:space="preserve">used are commercially sensitive; however as a high-level summary the process works as follows: </w:t>
      </w:r>
      <w:r w:rsidR="00F91519" w:rsidRPr="00F44542">
        <w:rPr>
          <w:lang w:eastAsia="en-GB"/>
        </w:rPr>
        <w:t>a</w:t>
      </w:r>
      <w:r w:rsidR="0034749D" w:rsidRPr="00F44542">
        <w:rPr>
          <w:lang w:eastAsia="en-GB"/>
        </w:rPr>
        <w:t xml:space="preserve">t all times the controller in the </w:t>
      </w:r>
      <w:r w:rsidR="00CB0BEE" w:rsidRPr="00F44542">
        <w:rPr>
          <w:lang w:eastAsia="en-GB"/>
        </w:rPr>
        <w:t>h</w:t>
      </w:r>
      <w:r w:rsidR="0034749D" w:rsidRPr="00F44542">
        <w:rPr>
          <w:lang w:eastAsia="en-GB"/>
        </w:rPr>
        <w:t xml:space="preserve">ybrid converter is monitoring the </w:t>
      </w:r>
      <w:r w:rsidR="00CB0BEE" w:rsidRPr="00F44542">
        <w:rPr>
          <w:lang w:eastAsia="en-GB"/>
        </w:rPr>
        <w:t>c</w:t>
      </w:r>
      <w:r w:rsidR="0034749D" w:rsidRPr="00F44542">
        <w:rPr>
          <w:lang w:eastAsia="en-GB"/>
        </w:rPr>
        <w:t>urrent being produced. If a significant current is detected</w:t>
      </w:r>
      <w:r w:rsidR="00C84BD4" w:rsidRPr="00F44542">
        <w:rPr>
          <w:lang w:eastAsia="en-GB"/>
        </w:rPr>
        <w:t xml:space="preserve"> due to a short circuit or arcing event, the controller </w:t>
      </w:r>
      <w:r w:rsidR="00222075" w:rsidRPr="00F44542">
        <w:rPr>
          <w:lang w:eastAsia="en-GB"/>
        </w:rPr>
        <w:t>interrupts</w:t>
      </w:r>
      <w:r w:rsidR="0034749D" w:rsidRPr="00F44542">
        <w:rPr>
          <w:lang w:eastAsia="en-GB"/>
        </w:rPr>
        <w:t xml:space="preserve"> the path of current, and prevents any further current rise. During this time</w:t>
      </w:r>
      <w:r w:rsidR="00CB0BEE" w:rsidRPr="00F44542">
        <w:rPr>
          <w:lang w:eastAsia="en-GB"/>
        </w:rPr>
        <w:t>, the</w:t>
      </w:r>
      <w:r w:rsidR="0034749D" w:rsidRPr="00F44542">
        <w:rPr>
          <w:lang w:eastAsia="en-GB"/>
        </w:rPr>
        <w:t xml:space="preserve"> fault can be cleared by the relevant breaker opening using the normal protection </w:t>
      </w:r>
      <w:r w:rsidR="00C84BD4" w:rsidRPr="00F44542">
        <w:rPr>
          <w:lang w:eastAsia="en-GB"/>
        </w:rPr>
        <w:t xml:space="preserve">scheme </w:t>
      </w:r>
      <w:r w:rsidR="0034749D" w:rsidRPr="00F44542">
        <w:rPr>
          <w:lang w:eastAsia="en-GB"/>
        </w:rPr>
        <w:t xml:space="preserve">(the system will </w:t>
      </w:r>
      <w:r w:rsidR="00205C35" w:rsidRPr="00F44542">
        <w:rPr>
          <w:lang w:eastAsia="en-GB"/>
        </w:rPr>
        <w:t xml:space="preserve">see some </w:t>
      </w:r>
      <w:r w:rsidR="0034749D" w:rsidRPr="00F44542">
        <w:rPr>
          <w:lang w:eastAsia="en-GB"/>
        </w:rPr>
        <w:t xml:space="preserve">overcurrent and so the protection devices will </w:t>
      </w:r>
      <w:r w:rsidR="00205C35" w:rsidRPr="00F44542">
        <w:rPr>
          <w:lang w:eastAsia="en-GB"/>
        </w:rPr>
        <w:t>be able to</w:t>
      </w:r>
      <w:r w:rsidR="0034749D" w:rsidRPr="00F44542">
        <w:rPr>
          <w:lang w:eastAsia="en-GB"/>
        </w:rPr>
        <w:t xml:space="preserve"> </w:t>
      </w:r>
      <w:r w:rsidR="00205C35" w:rsidRPr="00F44542">
        <w:rPr>
          <w:lang w:eastAsia="en-GB"/>
        </w:rPr>
        <w:t>respond</w:t>
      </w:r>
      <w:r w:rsidR="0034749D" w:rsidRPr="00F44542">
        <w:rPr>
          <w:lang w:eastAsia="en-GB"/>
        </w:rPr>
        <w:t xml:space="preserve">). Once the relevant breaker has cleared the fault, the </w:t>
      </w:r>
      <w:r w:rsidR="00CB0BEE" w:rsidRPr="00F44542">
        <w:rPr>
          <w:lang w:eastAsia="en-GB"/>
        </w:rPr>
        <w:t>h</w:t>
      </w:r>
      <w:r w:rsidR="0034749D" w:rsidRPr="00F44542">
        <w:rPr>
          <w:lang w:eastAsia="en-GB"/>
        </w:rPr>
        <w:t>ybrid converter can quickly resume providing power and normal system operation will be restored.</w:t>
      </w:r>
      <w:r w:rsidRPr="00F44542">
        <w:rPr>
          <w:lang w:eastAsia="en-GB"/>
        </w:rPr>
        <w:t xml:space="preserve"> </w:t>
      </w:r>
    </w:p>
    <w:p w14:paraId="082A61D7" w14:textId="65C327CD" w:rsidR="0034749D" w:rsidRPr="00F44542" w:rsidRDefault="0034749D" w:rsidP="00626AC3">
      <w:pPr>
        <w:rPr>
          <w:lang w:eastAsia="en-GB"/>
        </w:rPr>
      </w:pPr>
      <w:r w:rsidRPr="00F44542">
        <w:fldChar w:fldCharType="begin"/>
      </w:r>
      <w:r w:rsidRPr="00F44542">
        <w:instrText xml:space="preserve"> REF _Ref440110637 </w:instrText>
      </w:r>
      <w:r w:rsidR="009C24A6" w:rsidRPr="00F44542">
        <w:instrText xml:space="preserve"> \* MERGEFORMAT </w:instrText>
      </w:r>
      <w:r w:rsidRPr="00F44542">
        <w:fldChar w:fldCharType="separate"/>
      </w:r>
      <w:r w:rsidR="00EC7368" w:rsidRPr="00EC7368">
        <w:t xml:space="preserve">Figure </w:t>
      </w:r>
      <w:r w:rsidR="00EC7368" w:rsidRPr="00EC7368">
        <w:rPr>
          <w:noProof/>
        </w:rPr>
        <w:t>7</w:t>
      </w:r>
      <w:r w:rsidRPr="00F44542">
        <w:fldChar w:fldCharType="end"/>
      </w:r>
      <w:r w:rsidRPr="00F44542">
        <w:t xml:space="preserve"> shows traces from actual testing of this concept at GE’s Marine Power Test Facility at Whetstone. </w:t>
      </w:r>
      <w:r w:rsidR="0041511B" w:rsidRPr="00F44542">
        <w:t xml:space="preserve">During this test a fault was created on the main bus </w:t>
      </w:r>
      <w:r w:rsidR="006E65C1" w:rsidRPr="00F44542">
        <w:t>to demonstrate</w:t>
      </w:r>
      <w:r w:rsidR="0041511B" w:rsidRPr="00F44542">
        <w:t xml:space="preserve"> the ride-thro</w:t>
      </w:r>
      <w:r w:rsidR="006E65C1" w:rsidRPr="00F44542">
        <w:t>ugh capability of the converter</w:t>
      </w:r>
      <w:r w:rsidR="0041511B" w:rsidRPr="00F44542">
        <w:t xml:space="preserve">. </w:t>
      </w:r>
      <w:r w:rsidR="00205C35" w:rsidRPr="00F44542">
        <w:t xml:space="preserve">The traces shown compare the converter response with and without </w:t>
      </w:r>
      <w:r w:rsidR="00205C35" w:rsidRPr="00F44542">
        <w:rPr>
          <w:lang w:eastAsia="en-GB"/>
        </w:rPr>
        <w:t xml:space="preserve">current management. On the left trace, the standard configuration, when the fault is applied the main voltage rapidly collapses (Point 1) as the currents spike to very high levels (Point 2). With current management applied, the right-hand trace, </w:t>
      </w:r>
      <w:r w:rsidR="0041511B" w:rsidRPr="00F44542">
        <w:t>the main voltage drop</w:t>
      </w:r>
      <w:r w:rsidR="00205C35" w:rsidRPr="00F44542">
        <w:t>s</w:t>
      </w:r>
      <w:r w:rsidR="0041511B" w:rsidRPr="00F44542">
        <w:t xml:space="preserve"> to zero</w:t>
      </w:r>
      <w:r w:rsidR="008317D3" w:rsidRPr="00F44542">
        <w:t xml:space="preserve"> (Point </w:t>
      </w:r>
      <w:r w:rsidR="00205C35" w:rsidRPr="00F44542">
        <w:t>3</w:t>
      </w:r>
      <w:r w:rsidR="008317D3" w:rsidRPr="00F44542">
        <w:t>)</w:t>
      </w:r>
      <w:r w:rsidR="00205C35" w:rsidRPr="00F44542">
        <w:t>, and there is some current rise but it is managed (Point 4). D</w:t>
      </w:r>
      <w:r w:rsidR="0041511B" w:rsidRPr="00F44542">
        <w:t xml:space="preserve">uring </w:t>
      </w:r>
      <w:r w:rsidR="005543AD" w:rsidRPr="00F44542">
        <w:t>this</w:t>
      </w:r>
      <w:r w:rsidR="0041511B" w:rsidRPr="00F44542">
        <w:t xml:space="preserve"> time the breakers </w:t>
      </w:r>
      <w:r w:rsidR="005543AD" w:rsidRPr="00F44542">
        <w:t xml:space="preserve">are able to </w:t>
      </w:r>
      <w:r w:rsidR="0041511B" w:rsidRPr="00F44542">
        <w:t xml:space="preserve">clear the fault, and then </w:t>
      </w:r>
      <w:r w:rsidR="005543AD" w:rsidRPr="00F44542">
        <w:t>the volts can be q</w:t>
      </w:r>
      <w:r w:rsidR="0041511B" w:rsidRPr="00F44542">
        <w:t>uickly re</w:t>
      </w:r>
      <w:r w:rsidR="0013688B" w:rsidRPr="00F44542">
        <w:t>stored, all within approximately 250ms.</w:t>
      </w:r>
    </w:p>
    <w:p w14:paraId="73E25A37" w14:textId="77777777" w:rsidR="0034749D" w:rsidRPr="00F44542" w:rsidRDefault="0034749D" w:rsidP="00626AC3"/>
    <w:p w14:paraId="642B2588" w14:textId="2A36B104" w:rsidR="003C347E" w:rsidRPr="00F44542" w:rsidRDefault="00205C35" w:rsidP="00626AC3">
      <w:pPr>
        <w:pStyle w:val="Figure"/>
      </w:pPr>
      <w:r w:rsidRPr="00F44542">
        <w:lastRenderedPageBreak/>
        <w:drawing>
          <wp:inline distT="0" distB="0" distL="0" distR="0" wp14:anchorId="0F31BD99" wp14:editId="0AAA3E3C">
            <wp:extent cx="5400000" cy="340300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Clipping Trace.png"/>
                    <pic:cNvPicPr/>
                  </pic:nvPicPr>
                  <pic:blipFill>
                    <a:blip r:embed="rId24">
                      <a:extLst>
                        <a:ext uri="{28A0092B-C50C-407E-A947-70E740481C1C}">
                          <a14:useLocalDpi xmlns:a14="http://schemas.microsoft.com/office/drawing/2010/main" val="0"/>
                        </a:ext>
                      </a:extLst>
                    </a:blip>
                    <a:stretch>
                      <a:fillRect/>
                    </a:stretch>
                  </pic:blipFill>
                  <pic:spPr>
                    <a:xfrm>
                      <a:off x="0" y="0"/>
                      <a:ext cx="5400000" cy="3403001"/>
                    </a:xfrm>
                    <a:prstGeom prst="rect">
                      <a:avLst/>
                    </a:prstGeom>
                  </pic:spPr>
                </pic:pic>
              </a:graphicData>
            </a:graphic>
          </wp:inline>
        </w:drawing>
      </w:r>
    </w:p>
    <w:p w14:paraId="1D497FB8" w14:textId="24311DB3" w:rsidR="00CE0AFF" w:rsidRPr="00F44542" w:rsidRDefault="00CE0AFF" w:rsidP="008E3A0D">
      <w:pPr>
        <w:pStyle w:val="Caption"/>
      </w:pPr>
      <w:bookmarkStart w:id="7" w:name="_Ref440110637"/>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7</w:t>
      </w:r>
      <w:r w:rsidR="00CA4C92">
        <w:rPr>
          <w:noProof/>
        </w:rPr>
        <w:fldChar w:fldCharType="end"/>
      </w:r>
      <w:bookmarkEnd w:id="7"/>
      <w:r w:rsidRPr="00F44542">
        <w:t xml:space="preserve">: </w:t>
      </w:r>
      <w:r w:rsidR="008D231F" w:rsidRPr="00F44542">
        <w:t xml:space="preserve">Trace of Current </w:t>
      </w:r>
      <w:r w:rsidR="00C84BD4" w:rsidRPr="00F44542">
        <w:t>Management</w:t>
      </w:r>
      <w:r w:rsidR="00391157" w:rsidRPr="00F44542">
        <w:t xml:space="preserve"> Testing</w:t>
      </w:r>
    </w:p>
    <w:p w14:paraId="61CC581A" w14:textId="653E2381" w:rsidR="00E61F47" w:rsidRPr="00F44542" w:rsidRDefault="004E780B" w:rsidP="00EC7368">
      <w:pPr>
        <w:pStyle w:val="Heading2"/>
      </w:pPr>
      <w:r>
        <w:t>Commercial i</w:t>
      </w:r>
      <w:r w:rsidR="00E61F47" w:rsidRPr="00F44542">
        <w:t>ntegration</w:t>
      </w:r>
    </w:p>
    <w:p w14:paraId="42220999" w14:textId="5D0F923D" w:rsidR="00BF0C0E" w:rsidRPr="00F44542" w:rsidRDefault="006E65C1" w:rsidP="00626AC3">
      <w:r w:rsidRPr="00F44542">
        <w:t>A final challenge that is</w:t>
      </w:r>
      <w:r w:rsidR="0046166F" w:rsidRPr="00F44542">
        <w:t xml:space="preserve"> often overlooked</w:t>
      </w:r>
      <w:r w:rsidR="006B46D5" w:rsidRPr="00F44542">
        <w:t xml:space="preserve"> during the concept phases of a project </w:t>
      </w:r>
      <w:r w:rsidRPr="00F44542">
        <w:t>is the commercial integration</w:t>
      </w:r>
      <w:r w:rsidR="006B46D5" w:rsidRPr="00F44542">
        <w:t>.</w:t>
      </w:r>
      <w:r w:rsidR="00CB0BEE" w:rsidRPr="00F44542">
        <w:t xml:space="preserve"> I</w:t>
      </w:r>
      <w:r w:rsidR="006B46D5" w:rsidRPr="00F44542">
        <w:t xml:space="preserve">t </w:t>
      </w:r>
      <w:r w:rsidR="00CB0BEE" w:rsidRPr="00F44542">
        <w:t>is</w:t>
      </w:r>
      <w:r w:rsidR="006B46D5" w:rsidRPr="00F44542">
        <w:t xml:space="preserve"> mentioned </w:t>
      </w:r>
      <w:r w:rsidRPr="00F44542">
        <w:t xml:space="preserve">here </w:t>
      </w:r>
      <w:r w:rsidR="006B46D5" w:rsidRPr="00F44542">
        <w:t xml:space="preserve">in order to highlight how some of the </w:t>
      </w:r>
      <w:r w:rsidR="00CB0BEE" w:rsidRPr="00F44542">
        <w:t>h</w:t>
      </w:r>
      <w:r w:rsidR="006B46D5" w:rsidRPr="00F44542">
        <w:t>ybrid systems discussed can have more complicated commercial interfaces. This can be</w:t>
      </w:r>
      <w:r w:rsidR="00EA660A" w:rsidRPr="00F44542">
        <w:t xml:space="preserve"> shown</w:t>
      </w:r>
      <w:r w:rsidR="006B46D5" w:rsidRPr="00F44542">
        <w:t xml:space="preserve"> best</w:t>
      </w:r>
      <w:r w:rsidR="00EA660A" w:rsidRPr="00F44542">
        <w:t xml:space="preserve"> through the use of a diagram.</w:t>
      </w:r>
    </w:p>
    <w:p w14:paraId="6F6AD768" w14:textId="77777777" w:rsidR="00EA660A" w:rsidRPr="00F44542" w:rsidRDefault="00EA660A" w:rsidP="00626AC3"/>
    <w:p w14:paraId="298D741A" w14:textId="3A4EA6DB" w:rsidR="00F457DF" w:rsidRPr="00F44542" w:rsidRDefault="002B2E7C" w:rsidP="00626AC3">
      <w:pPr>
        <w:pStyle w:val="Figure"/>
      </w:pPr>
      <w:r w:rsidRPr="00F44542">
        <w:drawing>
          <wp:inline distT="0" distB="0" distL="0" distR="0" wp14:anchorId="26EF784E" wp14:editId="696FBE64">
            <wp:extent cx="4320000" cy="2714700"/>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0000" cy="2714700"/>
                    </a:xfrm>
                    <a:prstGeom prst="rect">
                      <a:avLst/>
                    </a:prstGeom>
                    <a:noFill/>
                    <a:ln>
                      <a:noFill/>
                    </a:ln>
                  </pic:spPr>
                </pic:pic>
              </a:graphicData>
            </a:graphic>
          </wp:inline>
        </w:drawing>
      </w:r>
    </w:p>
    <w:p w14:paraId="32ABE4C9" w14:textId="2085CC18" w:rsidR="00F457DF" w:rsidRPr="00F44542" w:rsidRDefault="00F457DF" w:rsidP="008E3A0D">
      <w:pPr>
        <w:pStyle w:val="Caption"/>
      </w:pPr>
      <w:bookmarkStart w:id="8" w:name="_Ref440219260"/>
      <w:r w:rsidRPr="00F44542">
        <w:t xml:space="preserve">Figure </w:t>
      </w:r>
      <w:r w:rsidR="00CA4C92">
        <w:rPr>
          <w:noProof/>
        </w:rPr>
        <w:fldChar w:fldCharType="begin"/>
      </w:r>
      <w:r w:rsidR="00CA4C92">
        <w:rPr>
          <w:noProof/>
        </w:rPr>
        <w:instrText xml:space="preserve"> SEQ Figure \* ARABIC </w:instrText>
      </w:r>
      <w:r w:rsidR="00CA4C92">
        <w:rPr>
          <w:noProof/>
        </w:rPr>
        <w:fldChar w:fldCharType="separate"/>
      </w:r>
      <w:r w:rsidR="00EC7368">
        <w:rPr>
          <w:noProof/>
        </w:rPr>
        <w:t>8</w:t>
      </w:r>
      <w:r w:rsidR="00CA4C92">
        <w:rPr>
          <w:noProof/>
        </w:rPr>
        <w:fldChar w:fldCharType="end"/>
      </w:r>
      <w:bookmarkEnd w:id="8"/>
      <w:r w:rsidRPr="00F44542">
        <w:t>: Split of Commercial Responsibilities for</w:t>
      </w:r>
      <w:r w:rsidR="00CB0BEE" w:rsidRPr="00F44542">
        <w:t xml:space="preserve"> the</w:t>
      </w:r>
      <w:r w:rsidRPr="00F44542">
        <w:t xml:space="preserve"> </w:t>
      </w:r>
      <w:r w:rsidR="00CB0BEE" w:rsidRPr="00F44542">
        <w:t>Norwegian LSV</w:t>
      </w:r>
      <w:r w:rsidRPr="00F44542">
        <w:t xml:space="preserve"> Project</w:t>
      </w:r>
    </w:p>
    <w:p w14:paraId="58C28B28" w14:textId="79648BD2" w:rsidR="00B418E1" w:rsidRPr="00F44542" w:rsidRDefault="006E65C1" w:rsidP="00626AC3">
      <w:r w:rsidRPr="00F44542">
        <w:fldChar w:fldCharType="begin"/>
      </w:r>
      <w:r w:rsidRPr="00F44542">
        <w:instrText xml:space="preserve"> REF _Ref440219260 </w:instrText>
      </w:r>
      <w:r w:rsidR="00F44542" w:rsidRPr="00F44542">
        <w:instrText xml:space="preserve"> \* MERGEFORMAT </w:instrText>
      </w:r>
      <w:r w:rsidRPr="00F44542">
        <w:fldChar w:fldCharType="separate"/>
      </w:r>
      <w:r w:rsidR="00EC7368" w:rsidRPr="00EC7368">
        <w:t xml:space="preserve">Figure </w:t>
      </w:r>
      <w:r w:rsidR="00EC7368" w:rsidRPr="00EC7368">
        <w:rPr>
          <w:noProof/>
        </w:rPr>
        <w:t>8</w:t>
      </w:r>
      <w:r w:rsidRPr="00F44542">
        <w:fldChar w:fldCharType="end"/>
      </w:r>
      <w:r w:rsidRPr="00F44542">
        <w:t xml:space="preserve"> </w:t>
      </w:r>
      <w:r w:rsidR="00FD5313" w:rsidRPr="00F44542">
        <w:t>shows the split of the co</w:t>
      </w:r>
      <w:r w:rsidRPr="00F44542">
        <w:t xml:space="preserve">mmercial responsibilities for the Norwegian LSV </w:t>
      </w:r>
      <w:r w:rsidR="00447581" w:rsidRPr="00F44542">
        <w:t>hybrid</w:t>
      </w:r>
      <w:r w:rsidR="00FD5313" w:rsidRPr="00F44542">
        <w:t xml:space="preserve"> system</w:t>
      </w:r>
      <w:r w:rsidR="001042B7" w:rsidRPr="00F44542">
        <w:t>, with each organisation’s scope shaded differently</w:t>
      </w:r>
      <w:r w:rsidRPr="00F44542">
        <w:t xml:space="preserve"> and the communication paths shown as arrows</w:t>
      </w:r>
      <w:r w:rsidR="00FD5313" w:rsidRPr="00F44542">
        <w:t xml:space="preserve">. As </w:t>
      </w:r>
      <w:r w:rsidRPr="00F44542">
        <w:t>depicted</w:t>
      </w:r>
      <w:r w:rsidR="00FD5313" w:rsidRPr="00F44542">
        <w:t>, no one organisation ha</w:t>
      </w:r>
      <w:r w:rsidRPr="00F44542">
        <w:t>s</w:t>
      </w:r>
      <w:r w:rsidR="00FD5313" w:rsidRPr="00F44542">
        <w:t xml:space="preserve"> control of or responsibility for the end-to-end system (whether in PTI or PTO), </w:t>
      </w:r>
      <w:r w:rsidR="001042B7" w:rsidRPr="00F44542">
        <w:t>and some of the control</w:t>
      </w:r>
      <w:r w:rsidR="00980EBF" w:rsidRPr="00F44542">
        <w:t xml:space="preserve"> and monitoring</w:t>
      </w:r>
      <w:r w:rsidR="001042B7" w:rsidRPr="00F44542">
        <w:t xml:space="preserve"> signals</w:t>
      </w:r>
      <w:r w:rsidR="00980EBF" w:rsidRPr="00F44542">
        <w:t xml:space="preserve"> </w:t>
      </w:r>
      <w:r w:rsidRPr="00F44542">
        <w:t>f</w:t>
      </w:r>
      <w:r w:rsidR="001042B7" w:rsidRPr="00F44542">
        <w:t xml:space="preserve">or key components, such as the hybrid converter, </w:t>
      </w:r>
      <w:r w:rsidR="00980EBF" w:rsidRPr="00F44542">
        <w:t>are</w:t>
      </w:r>
      <w:r w:rsidR="001042B7" w:rsidRPr="00F44542">
        <w:t xml:space="preserve"> from two different sources. </w:t>
      </w:r>
      <w:r w:rsidRPr="00F44542">
        <w:t>In practice this can result</w:t>
      </w:r>
      <w:r w:rsidR="00FD5313" w:rsidRPr="00F44542">
        <w:t xml:space="preserve"> in </w:t>
      </w:r>
      <w:r w:rsidR="001042B7" w:rsidRPr="00F44542">
        <w:t xml:space="preserve">significant integration </w:t>
      </w:r>
      <w:r w:rsidR="00FD5313" w:rsidRPr="00F44542">
        <w:t>challenge</w:t>
      </w:r>
      <w:r w:rsidR="00CB0BEE" w:rsidRPr="00F44542">
        <w:t>s</w:t>
      </w:r>
      <w:r w:rsidR="00FD5313" w:rsidRPr="00F44542">
        <w:t xml:space="preserve"> during the de</w:t>
      </w:r>
      <w:r w:rsidR="001042B7" w:rsidRPr="00F44542">
        <w:t>tailed design phase.</w:t>
      </w:r>
      <w:r w:rsidR="00FD5313" w:rsidRPr="00F44542">
        <w:t xml:space="preserve"> </w:t>
      </w:r>
      <w:r w:rsidRPr="00F44542">
        <w:t>In the case of Norwegian LSV i</w:t>
      </w:r>
      <w:r w:rsidR="00FD5313" w:rsidRPr="00F44542">
        <w:t xml:space="preserve">t </w:t>
      </w:r>
      <w:r w:rsidRPr="00F44542">
        <w:t>has been</w:t>
      </w:r>
      <w:r w:rsidR="00FD5313" w:rsidRPr="00F44542">
        <w:t xml:space="preserve"> ultimately up to the shipyard to both lead the integration of an unfamiliar new </w:t>
      </w:r>
      <w:r w:rsidR="00CB0BEE" w:rsidRPr="00F44542">
        <w:t>h</w:t>
      </w:r>
      <w:r w:rsidR="00FD5313" w:rsidRPr="00F44542">
        <w:t xml:space="preserve">ybrid </w:t>
      </w:r>
      <w:r w:rsidR="00CB0BEE" w:rsidRPr="00F44542">
        <w:t xml:space="preserve">power and propulsion </w:t>
      </w:r>
      <w:r w:rsidR="00FD5313" w:rsidRPr="00F44542">
        <w:t xml:space="preserve">system, and enforce the correct commercial behaviour to successfully integrate the </w:t>
      </w:r>
      <w:r w:rsidR="00FD5313" w:rsidRPr="00F44542">
        <w:lastRenderedPageBreak/>
        <w:t>project. For future projects, a dedicated (and ideally independent) integrator with complete system oversight may offer some benefit.</w:t>
      </w:r>
    </w:p>
    <w:p w14:paraId="3A6B91AE" w14:textId="3237EDAA" w:rsidR="00E51228" w:rsidRPr="00F44542" w:rsidRDefault="00E51228" w:rsidP="00EC7368">
      <w:pPr>
        <w:pStyle w:val="Heading1"/>
      </w:pPr>
      <w:r w:rsidRPr="00F44542">
        <w:t>C</w:t>
      </w:r>
      <w:r w:rsidR="004E780B">
        <w:t xml:space="preserve">onclusions </w:t>
      </w:r>
    </w:p>
    <w:p w14:paraId="5DD7B548" w14:textId="534F3FDB" w:rsidR="00E61F47" w:rsidRPr="00F44542" w:rsidRDefault="00602442" w:rsidP="00626AC3">
      <w:pPr>
        <w:rPr>
          <w:lang w:eastAsia="en-GB"/>
        </w:rPr>
      </w:pPr>
      <w:r w:rsidRPr="00F44542">
        <w:rPr>
          <w:lang w:eastAsia="en-GB"/>
        </w:rPr>
        <w:t xml:space="preserve">In the last half-century there has been a marked shift away from purely </w:t>
      </w:r>
      <w:r w:rsidR="00CB0BEE" w:rsidRPr="00F44542">
        <w:rPr>
          <w:lang w:eastAsia="en-GB"/>
        </w:rPr>
        <w:t>m</w:t>
      </w:r>
      <w:r w:rsidRPr="00F44542">
        <w:rPr>
          <w:lang w:eastAsia="en-GB"/>
        </w:rPr>
        <w:t xml:space="preserve">echanical propulsion towards some form of </w:t>
      </w:r>
      <w:r w:rsidR="00CB0BEE" w:rsidRPr="00F44542">
        <w:rPr>
          <w:lang w:eastAsia="en-GB"/>
        </w:rPr>
        <w:t>e</w:t>
      </w:r>
      <w:r w:rsidRPr="00F44542">
        <w:rPr>
          <w:lang w:eastAsia="en-GB"/>
        </w:rPr>
        <w:t xml:space="preserve">lectric </w:t>
      </w:r>
      <w:r w:rsidR="00CB0BEE" w:rsidRPr="00F44542">
        <w:rPr>
          <w:lang w:eastAsia="en-GB"/>
        </w:rPr>
        <w:t>p</w:t>
      </w:r>
      <w:r w:rsidR="006E65C1" w:rsidRPr="00F44542">
        <w:rPr>
          <w:lang w:eastAsia="en-GB"/>
        </w:rPr>
        <w:t>ropulsion system</w:t>
      </w:r>
      <w:r w:rsidR="009C24A6" w:rsidRPr="00F44542">
        <w:rPr>
          <w:lang w:eastAsia="en-GB"/>
        </w:rPr>
        <w:t xml:space="preserve"> for reasons of performance, efficiency and flexibility. Historically hybrid propulsion has offered a first-step away from </w:t>
      </w:r>
      <w:r w:rsidR="006E65C1" w:rsidRPr="00F44542">
        <w:rPr>
          <w:lang w:eastAsia="en-GB"/>
        </w:rPr>
        <w:t>m</w:t>
      </w:r>
      <w:r w:rsidR="009C24A6" w:rsidRPr="00F44542">
        <w:rPr>
          <w:lang w:eastAsia="en-GB"/>
        </w:rPr>
        <w:t>echanical</w:t>
      </w:r>
      <w:r w:rsidR="006E65C1" w:rsidRPr="00F44542">
        <w:rPr>
          <w:lang w:eastAsia="en-GB"/>
        </w:rPr>
        <w:t xml:space="preserve"> propulsion, however now</w:t>
      </w:r>
      <w:r w:rsidR="009C24A6" w:rsidRPr="00F44542">
        <w:rPr>
          <w:lang w:eastAsia="en-GB"/>
        </w:rPr>
        <w:t xml:space="preserve"> a new range of advanced hybrids are available, offering greater benefits and flexibility without the space, weight and cost implication of IFEP.</w:t>
      </w:r>
    </w:p>
    <w:p w14:paraId="4540C784" w14:textId="4B332EC6" w:rsidR="003F1A7D" w:rsidRPr="00F44542" w:rsidRDefault="006E65C1" w:rsidP="00626AC3">
      <w:pPr>
        <w:rPr>
          <w:lang w:eastAsia="en-GB"/>
        </w:rPr>
      </w:pPr>
      <w:r w:rsidRPr="00F44542">
        <w:rPr>
          <w:lang w:eastAsia="en-GB"/>
        </w:rPr>
        <w:t>I</w:t>
      </w:r>
      <w:r w:rsidR="009C24A6" w:rsidRPr="00F44542">
        <w:rPr>
          <w:lang w:eastAsia="en-GB"/>
        </w:rPr>
        <w:t xml:space="preserve">n order to get the most out of a hybrid propulsion system the </w:t>
      </w:r>
      <w:r w:rsidR="003F1A7D" w:rsidRPr="00F44542">
        <w:rPr>
          <w:lang w:eastAsia="en-GB"/>
        </w:rPr>
        <w:t>system</w:t>
      </w:r>
      <w:r w:rsidR="009C24A6" w:rsidRPr="00F44542">
        <w:rPr>
          <w:lang w:eastAsia="en-GB"/>
        </w:rPr>
        <w:t xml:space="preserve"> needs to be tailored at the design stage to meet the owner’s requirements and what is actually needed from the ship. Whilst these new advanced hybrid systems are very flexible, the main benefits come when the complete system is fully optimised and integrated to the platform.</w:t>
      </w:r>
      <w:r w:rsidR="00053811" w:rsidRPr="00F44542">
        <w:rPr>
          <w:lang w:eastAsia="en-GB"/>
        </w:rPr>
        <w:t xml:space="preserve"> </w:t>
      </w:r>
      <w:r w:rsidR="003F1A7D" w:rsidRPr="00F44542">
        <w:rPr>
          <w:lang w:eastAsia="en-GB"/>
        </w:rPr>
        <w:t xml:space="preserve">With the benefits come many challenges to the successful integration of the hybrid system. The challenges found during the successful integration of recent projects have been presented, and some of the lessons learnt discussed. The real-world examples </w:t>
      </w:r>
      <w:r w:rsidR="00053811" w:rsidRPr="00F44542">
        <w:rPr>
          <w:lang w:eastAsia="en-GB"/>
        </w:rPr>
        <w:t>cited</w:t>
      </w:r>
      <w:r w:rsidR="003F1A7D" w:rsidRPr="00F44542">
        <w:rPr>
          <w:lang w:eastAsia="en-GB"/>
        </w:rPr>
        <w:t xml:space="preserve"> demonstrate that the challenges are varied and complex, often requiring careful trade-offs to optimise the solution. </w:t>
      </w:r>
    </w:p>
    <w:p w14:paraId="61B79845" w14:textId="78D8E8D1" w:rsidR="00602442" w:rsidRPr="00F44542" w:rsidRDefault="00FD5313" w:rsidP="00626AC3">
      <w:pPr>
        <w:rPr>
          <w:lang w:eastAsia="en-GB"/>
        </w:rPr>
      </w:pPr>
      <w:r w:rsidRPr="00F44542">
        <w:rPr>
          <w:lang w:eastAsia="en-GB"/>
        </w:rPr>
        <w:t>Hybrid</w:t>
      </w:r>
      <w:r w:rsidR="00602442" w:rsidRPr="00F44542">
        <w:rPr>
          <w:lang w:eastAsia="en-GB"/>
        </w:rPr>
        <w:t xml:space="preserve"> </w:t>
      </w:r>
      <w:r w:rsidR="00CB0BEE" w:rsidRPr="00F44542">
        <w:rPr>
          <w:lang w:eastAsia="en-GB"/>
        </w:rPr>
        <w:t>p</w:t>
      </w:r>
      <w:r w:rsidR="00602442" w:rsidRPr="00F44542">
        <w:rPr>
          <w:lang w:eastAsia="en-GB"/>
        </w:rPr>
        <w:t xml:space="preserve">ropulsion must be designed as a </w:t>
      </w:r>
      <w:r w:rsidR="00053811" w:rsidRPr="00F44542">
        <w:rPr>
          <w:lang w:eastAsia="en-GB"/>
        </w:rPr>
        <w:t xml:space="preserve">complete </w:t>
      </w:r>
      <w:r w:rsidR="00602442" w:rsidRPr="00F44542">
        <w:rPr>
          <w:lang w:eastAsia="en-GB"/>
        </w:rPr>
        <w:t xml:space="preserve">system combining the needs of propulsion, ship’s service power supply and </w:t>
      </w:r>
      <w:r w:rsidR="00053811" w:rsidRPr="00F44542">
        <w:rPr>
          <w:lang w:eastAsia="en-GB"/>
        </w:rPr>
        <w:t>equipment</w:t>
      </w:r>
      <w:r w:rsidR="00602442" w:rsidRPr="00F44542">
        <w:rPr>
          <w:lang w:eastAsia="en-GB"/>
        </w:rPr>
        <w:t xml:space="preserve"> type. Integration </w:t>
      </w:r>
      <w:r w:rsidR="00053811" w:rsidRPr="00F44542">
        <w:rPr>
          <w:lang w:eastAsia="en-GB"/>
        </w:rPr>
        <w:t>of the hybrid system a</w:t>
      </w:r>
      <w:r w:rsidR="00602442" w:rsidRPr="00F44542">
        <w:rPr>
          <w:lang w:eastAsia="en-GB"/>
        </w:rPr>
        <w:t>s a whole is essential, and the experience, skill and knowledge required to do this should not be underestimated.</w:t>
      </w:r>
    </w:p>
    <w:p w14:paraId="41A80E53" w14:textId="58CB6E13" w:rsidR="00523AEF" w:rsidRPr="00F44542" w:rsidRDefault="004E780B" w:rsidP="00626AC3">
      <w:pPr>
        <w:pStyle w:val="Heading1Un-numbered"/>
      </w:pPr>
      <w:r w:rsidRPr="00F44542">
        <w:t>A</w:t>
      </w:r>
      <w:r>
        <w:t xml:space="preserve">cknowledgements </w:t>
      </w:r>
    </w:p>
    <w:p w14:paraId="4FEFDF06" w14:textId="5F999DD2" w:rsidR="00523AEF" w:rsidRPr="00F44542" w:rsidRDefault="00523AEF" w:rsidP="00626AC3">
      <w:r w:rsidRPr="00F44542">
        <w:t xml:space="preserve">The author would like to thank </w:t>
      </w:r>
      <w:proofErr w:type="spellStart"/>
      <w:r w:rsidRPr="00F44542">
        <w:t>Erwann</w:t>
      </w:r>
      <w:proofErr w:type="spellEnd"/>
      <w:r w:rsidRPr="00F44542">
        <w:t xml:space="preserve"> </w:t>
      </w:r>
      <w:proofErr w:type="spellStart"/>
      <w:r w:rsidRPr="00F44542">
        <w:t>Mauxion</w:t>
      </w:r>
      <w:proofErr w:type="spellEnd"/>
      <w:r w:rsidRPr="00F44542">
        <w:t xml:space="preserve"> for leading the de-risking trials at GE’s Marine Power Test Facility at Whetstone and providing the traces of the </w:t>
      </w:r>
      <w:proofErr w:type="spellStart"/>
      <w:r w:rsidR="00CB0BEE" w:rsidRPr="00F44542">
        <w:t>blackstart</w:t>
      </w:r>
      <w:proofErr w:type="spellEnd"/>
      <w:r w:rsidR="00CB0BEE" w:rsidRPr="00F44542">
        <w:t xml:space="preserve"> recovery and</w:t>
      </w:r>
      <w:r w:rsidR="00E61F47" w:rsidRPr="00F44542">
        <w:t xml:space="preserve"> </w:t>
      </w:r>
      <w:r w:rsidRPr="00F44542">
        <w:t>short circuit testing.</w:t>
      </w:r>
    </w:p>
    <w:p w14:paraId="5C74C85F" w14:textId="6F3FE22E" w:rsidR="00674D93" w:rsidRPr="00F44542" w:rsidRDefault="00674D93" w:rsidP="003B7E23">
      <w:r w:rsidRPr="00F44542">
        <w:t xml:space="preserve">The views expressed </w:t>
      </w:r>
      <w:r w:rsidR="00523AEF" w:rsidRPr="00F44542">
        <w:t xml:space="preserve">in this paper </w:t>
      </w:r>
      <w:r w:rsidRPr="00F44542">
        <w:t>are that of the author and do not necessarily represent the views and opinions of GE Power Conversion.</w:t>
      </w:r>
    </w:p>
    <w:p w14:paraId="40916491" w14:textId="4D0FB416" w:rsidR="00F4089D" w:rsidRPr="00F44542" w:rsidRDefault="00F4089D" w:rsidP="00626AC3">
      <w:pPr>
        <w:pStyle w:val="Heading1Un-numbered"/>
      </w:pPr>
      <w:r w:rsidRPr="00F44542">
        <w:t>R</w:t>
      </w:r>
      <w:r w:rsidR="004E780B">
        <w:t xml:space="preserve">eferences </w:t>
      </w:r>
    </w:p>
    <w:p w14:paraId="4D5B74EA" w14:textId="77777777" w:rsidR="00EC7368" w:rsidRPr="00F44542" w:rsidRDefault="00EC7368" w:rsidP="009C08F1">
      <w:pPr>
        <w:pStyle w:val="Reference"/>
      </w:pPr>
      <w:bookmarkStart w:id="9" w:name="_Ref440377423"/>
      <w:bookmarkStart w:id="10" w:name="_Ref358962496"/>
      <w:proofErr w:type="spellStart"/>
      <w:r w:rsidRPr="00F44542">
        <w:t>Benatmane</w:t>
      </w:r>
      <w:proofErr w:type="spellEnd"/>
      <w:r w:rsidRPr="00F44542">
        <w:t xml:space="preserve"> M., Butcher M. &amp; Long T.: “Earth Fault Detection and Protection for </w:t>
      </w:r>
      <w:proofErr w:type="spellStart"/>
      <w:r w:rsidRPr="00F44542">
        <w:t>Transformerless</w:t>
      </w:r>
      <w:proofErr w:type="spellEnd"/>
      <w:r w:rsidRPr="00F44542">
        <w:t xml:space="preserve"> Active Front End Converters”, Proceedings of the International Naval Engineering Conference 2016, Bristol, United Kingdom, April 26-28 2016.</w:t>
      </w:r>
      <w:bookmarkEnd w:id="9"/>
    </w:p>
    <w:p w14:paraId="2530A37C" w14:textId="77777777" w:rsidR="00EC7368" w:rsidRPr="00F44542" w:rsidRDefault="00EC7368" w:rsidP="009C08F1">
      <w:pPr>
        <w:pStyle w:val="Reference"/>
      </w:pPr>
      <w:bookmarkStart w:id="11" w:name="_Ref439853141"/>
      <w:bookmarkStart w:id="12" w:name="_Ref439853973"/>
      <w:r w:rsidRPr="00F44542">
        <w:t>Buckingham J.: “Hybrid Drives For Naval Auxiliary Vessels”, Proceedings of the Pacific 2013 Conference, Sydney, Australia, October 7-9 2013.</w:t>
      </w:r>
      <w:bookmarkEnd w:id="11"/>
      <w:bookmarkEnd w:id="12"/>
    </w:p>
    <w:p w14:paraId="55FC95B3" w14:textId="77777777" w:rsidR="00EC7368" w:rsidRPr="00F44542" w:rsidRDefault="00EC7368" w:rsidP="009C08F1">
      <w:pPr>
        <w:pStyle w:val="Reference"/>
      </w:pPr>
      <w:bookmarkStart w:id="13" w:name="_Ref439853146"/>
      <w:r w:rsidRPr="00F44542">
        <w:t>Buckingham J.: “Mapping the Hybrid Solution Space”, Proceedings of the Shipping in Changing Climates Conference, Liverpool, United Kingdom, June 18-19 2014.</w:t>
      </w:r>
      <w:bookmarkEnd w:id="13"/>
    </w:p>
    <w:p w14:paraId="73F930E6" w14:textId="77777777" w:rsidR="00EC7368" w:rsidRPr="00F44542" w:rsidRDefault="00EC7368" w:rsidP="009C08F1">
      <w:pPr>
        <w:pStyle w:val="Reference"/>
      </w:pPr>
      <w:bookmarkStart w:id="14" w:name="_Ref440274238"/>
      <w:bookmarkStart w:id="15" w:name="_Ref440457563"/>
      <w:r w:rsidRPr="00F44542">
        <w:t>Dalton T.C. &amp; McCoy T.J.: “Naval Hybrid Propulsion Plant Design”, Proceedings of the International Naval Engineering Conference 2012, Edinburgh, United Kingdom, May 15-17 2012.</w:t>
      </w:r>
      <w:bookmarkEnd w:id="14"/>
    </w:p>
    <w:p w14:paraId="49741282" w14:textId="77777777" w:rsidR="00EC7368" w:rsidRPr="00F44542" w:rsidRDefault="00EC7368" w:rsidP="009C08F1">
      <w:pPr>
        <w:pStyle w:val="Reference"/>
      </w:pPr>
      <w:r w:rsidRPr="00F44542">
        <w:t>Meggs R.W.: “A Review of Earthing Methods for Low Voltage Power Systems”, Proceedings of the Marine Electrical and Control Systems Safety Conference 2015, Bristol, United Kingdom, November 24-25 2013.</w:t>
      </w:r>
      <w:bookmarkEnd w:id="15"/>
    </w:p>
    <w:p w14:paraId="324606BF" w14:textId="35771584" w:rsidR="00EC7368" w:rsidRPr="00EC7368" w:rsidRDefault="00F4089D" w:rsidP="009C08F1">
      <w:pPr>
        <w:pStyle w:val="Reference"/>
      </w:pPr>
      <w:r w:rsidRPr="00EC7368">
        <w:t>Simmonds O.J.: “A History of Naval Electric Propulsion and Today’s Choices for New Vessels”, Proceedings of the International Workshops, Conferences and Expo for Military and Marine Applications, Pune, India, May 18-20 2013.</w:t>
      </w:r>
      <w:bookmarkEnd w:id="10"/>
    </w:p>
    <w:sectPr w:rsidR="00EC7368" w:rsidRPr="00EC7368" w:rsidSect="00F44542">
      <w:footerReference w:type="default" r:id="rId26"/>
      <w:pgSz w:w="11900" w:h="16840"/>
      <w:pgMar w:top="1644" w:right="1418" w:bottom="153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40CC" w14:textId="77777777" w:rsidR="00F03DD3" w:rsidRDefault="00F03DD3" w:rsidP="00626AC3">
      <w:r>
        <w:separator/>
      </w:r>
    </w:p>
  </w:endnote>
  <w:endnote w:type="continuationSeparator" w:id="0">
    <w:p w14:paraId="4CC24201" w14:textId="77777777" w:rsidR="00F03DD3" w:rsidRDefault="00F03DD3" w:rsidP="0062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4DFB" w14:textId="77777777" w:rsidR="003B7E23" w:rsidRDefault="003B7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D07E" w14:textId="7A71914E" w:rsidR="00FF21DB" w:rsidRPr="009C08F1" w:rsidRDefault="00FF21DB" w:rsidP="009C08F1">
    <w:pPr>
      <w:ind w:firstLine="0"/>
      <w:rPr>
        <w:b/>
        <w:sz w:val="16"/>
        <w:szCs w:val="16"/>
      </w:rPr>
    </w:pPr>
    <w:r w:rsidRPr="009C08F1">
      <w:rPr>
        <w:b/>
        <w:noProof/>
        <w:sz w:val="16"/>
        <w:szCs w:val="16"/>
        <w:lang w:eastAsia="en-GB"/>
      </w:rPr>
      <mc:AlternateContent>
        <mc:Choice Requires="wps">
          <w:drawing>
            <wp:anchor distT="0" distB="0" distL="114300" distR="114300" simplePos="0" relativeHeight="251659264" behindDoc="0" locked="0" layoutInCell="1" allowOverlap="1" wp14:anchorId="08705550" wp14:editId="58858A92">
              <wp:simplePos x="0" y="0"/>
              <wp:positionH relativeFrom="margin">
                <wp:align>center</wp:align>
              </wp:positionH>
              <wp:positionV relativeFrom="paragraph">
                <wp:posOffset>-1534</wp:posOffset>
              </wp:positionV>
              <wp:extent cx="5805578" cy="0"/>
              <wp:effectExtent l="0" t="0" r="24130" b="19050"/>
              <wp:wrapNone/>
              <wp:docPr id="2" name="Straight Connector 2"/>
              <wp:cNvGraphicFramePr/>
              <a:graphic xmlns:a="http://schemas.openxmlformats.org/drawingml/2006/main">
                <a:graphicData uri="http://schemas.microsoft.com/office/word/2010/wordprocessingShape">
                  <wps:wsp>
                    <wps:cNvCnPr/>
                    <wps:spPr>
                      <a:xfrm flipH="1">
                        <a:off x="0" y="0"/>
                        <a:ext cx="580557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C98DA" id="Straight Connector 2"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1pt" to="45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" strokecolor="black [3213]">
              <w10:wrap anchorx="margin"/>
            </v:line>
          </w:pict>
        </mc:Fallback>
      </mc:AlternateContent>
    </w:r>
    <w:r w:rsidRPr="009C08F1">
      <w:rPr>
        <w:b/>
        <w:sz w:val="16"/>
        <w:szCs w:val="16"/>
      </w:rPr>
      <w:t>Author</w:t>
    </w:r>
    <w:r w:rsidR="00D218C1" w:rsidRPr="009C08F1">
      <w:rPr>
        <w:b/>
        <w:sz w:val="16"/>
        <w:szCs w:val="16"/>
      </w:rPr>
      <w:t>’</w:t>
    </w:r>
    <w:r w:rsidRPr="009C08F1">
      <w:rPr>
        <w:b/>
        <w:sz w:val="16"/>
        <w:szCs w:val="16"/>
      </w:rPr>
      <w:t>s Biography</w:t>
    </w:r>
  </w:p>
  <w:p w14:paraId="42457B3B" w14:textId="3335CD6F" w:rsidR="00CF35BF" w:rsidRPr="009C08F1" w:rsidRDefault="00FF21DB" w:rsidP="009C08F1">
    <w:pPr>
      <w:pStyle w:val="Bio"/>
      <w:rPr>
        <w:rFonts w:hAnsi="Calibri" w:cs="Calibri"/>
        <w:color w:val="auto"/>
        <w:sz w:val="16"/>
        <w:szCs w:val="16"/>
      </w:rPr>
    </w:pPr>
    <w:r w:rsidRPr="009C08F1">
      <w:rPr>
        <w:b/>
        <w:sz w:val="16"/>
        <w:szCs w:val="16"/>
      </w:rPr>
      <w:t>Oliver Simmonds</w:t>
    </w:r>
    <w:r w:rsidRPr="009C08F1">
      <w:rPr>
        <w:sz w:val="16"/>
        <w:szCs w:val="16"/>
      </w:rPr>
      <w:t xml:space="preserve"> </w:t>
    </w:r>
    <w:r w:rsidR="00CF35BF" w:rsidRPr="009C08F1">
      <w:rPr>
        <w:sz w:val="16"/>
        <w:szCs w:val="16"/>
      </w:rPr>
      <w:t>is a Principal Engineer at BMT in Bath, UK. A Chartered Engineer, he has a background in both Mechanical and Electrical Engineering and has lead several major projects ranging from the delivery of a hybrid power and propulsion system for a Naval auxiliary vessel through to a wide range of technology studies and concept development work.</w:t>
    </w:r>
  </w:p>
  <w:p w14:paraId="71A0622A" w14:textId="0CE4D82A" w:rsidR="00FF21DB" w:rsidRPr="008E3A0D" w:rsidRDefault="00FF21DB" w:rsidP="00626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A62A" w14:textId="77777777" w:rsidR="003B7E23" w:rsidRDefault="003B7E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77D1" w14:textId="77777777" w:rsidR="0090520A" w:rsidRPr="00AB0F7C" w:rsidRDefault="0090520A" w:rsidP="0062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FDBC" w14:textId="77777777" w:rsidR="00F03DD3" w:rsidRDefault="00F03DD3" w:rsidP="00626AC3">
      <w:r>
        <w:separator/>
      </w:r>
    </w:p>
  </w:footnote>
  <w:footnote w:type="continuationSeparator" w:id="0">
    <w:p w14:paraId="1A3E5FA8" w14:textId="77777777" w:rsidR="00F03DD3" w:rsidRDefault="00F03DD3" w:rsidP="0062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9EBA" w14:textId="77777777" w:rsidR="003B7E23" w:rsidRDefault="003B7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46EF" w14:textId="77777777" w:rsidR="003B7E23" w:rsidRDefault="003B7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7436" w14:textId="77777777" w:rsidR="003B7E23" w:rsidRDefault="003B7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EB9"/>
    <w:multiLevelType w:val="multilevel"/>
    <w:tmpl w:val="AE347C42"/>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46C54F3"/>
    <w:multiLevelType w:val="hybridMultilevel"/>
    <w:tmpl w:val="7A36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5E1"/>
    <w:multiLevelType w:val="multilevel"/>
    <w:tmpl w:val="C88A032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32D13"/>
    <w:multiLevelType w:val="hybridMultilevel"/>
    <w:tmpl w:val="6F8CD10C"/>
    <w:lvl w:ilvl="0" w:tplc="0809000F">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F5A74"/>
    <w:multiLevelType w:val="multilevel"/>
    <w:tmpl w:val="A5F4038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3BF14082"/>
    <w:multiLevelType w:val="hybridMultilevel"/>
    <w:tmpl w:val="0E7CF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36CDA"/>
    <w:multiLevelType w:val="multilevel"/>
    <w:tmpl w:val="89ACFE0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F7F2907"/>
    <w:multiLevelType w:val="multilevel"/>
    <w:tmpl w:val="7702123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480475C7"/>
    <w:multiLevelType w:val="multilevel"/>
    <w:tmpl w:val="664E4D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8064976"/>
    <w:multiLevelType w:val="multilevel"/>
    <w:tmpl w:val="FE3C00AE"/>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7A282A10"/>
    <w:multiLevelType w:val="hybridMultilevel"/>
    <w:tmpl w:val="0DD0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125284">
    <w:abstractNumId w:val="9"/>
  </w:num>
  <w:num w:numId="2" w16cid:durableId="863861978">
    <w:abstractNumId w:val="6"/>
  </w:num>
  <w:num w:numId="3" w16cid:durableId="1865095484">
    <w:abstractNumId w:val="7"/>
  </w:num>
  <w:num w:numId="4" w16cid:durableId="1887065836">
    <w:abstractNumId w:val="4"/>
  </w:num>
  <w:num w:numId="5" w16cid:durableId="2089113153">
    <w:abstractNumId w:val="8"/>
  </w:num>
  <w:num w:numId="6" w16cid:durableId="886062434">
    <w:abstractNumId w:val="0"/>
  </w:num>
  <w:num w:numId="7" w16cid:durableId="553540385">
    <w:abstractNumId w:val="1"/>
  </w:num>
  <w:num w:numId="8" w16cid:durableId="1387492260">
    <w:abstractNumId w:val="5"/>
  </w:num>
  <w:num w:numId="9" w16cid:durableId="946356228">
    <w:abstractNumId w:val="10"/>
  </w:num>
  <w:num w:numId="10" w16cid:durableId="905534263">
    <w:abstractNumId w:val="3"/>
  </w:num>
  <w:num w:numId="11" w16cid:durableId="164739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6D"/>
    <w:rsid w:val="00024690"/>
    <w:rsid w:val="00037E79"/>
    <w:rsid w:val="00041EB0"/>
    <w:rsid w:val="00053811"/>
    <w:rsid w:val="00056F84"/>
    <w:rsid w:val="00072D55"/>
    <w:rsid w:val="00077346"/>
    <w:rsid w:val="00085A59"/>
    <w:rsid w:val="00097796"/>
    <w:rsid w:val="000A3F35"/>
    <w:rsid w:val="000D361B"/>
    <w:rsid w:val="000E2E9D"/>
    <w:rsid w:val="000F270B"/>
    <w:rsid w:val="000F27FD"/>
    <w:rsid w:val="001042B7"/>
    <w:rsid w:val="0010463E"/>
    <w:rsid w:val="001060C4"/>
    <w:rsid w:val="001249E3"/>
    <w:rsid w:val="0013231A"/>
    <w:rsid w:val="001339AF"/>
    <w:rsid w:val="0013688B"/>
    <w:rsid w:val="00142E8D"/>
    <w:rsid w:val="001541FA"/>
    <w:rsid w:val="00162307"/>
    <w:rsid w:val="00171021"/>
    <w:rsid w:val="00185A5B"/>
    <w:rsid w:val="001A0569"/>
    <w:rsid w:val="001B08E6"/>
    <w:rsid w:val="001B1CC2"/>
    <w:rsid w:val="001B6E08"/>
    <w:rsid w:val="001C0D1C"/>
    <w:rsid w:val="00205C35"/>
    <w:rsid w:val="002150DF"/>
    <w:rsid w:val="00222075"/>
    <w:rsid w:val="00251776"/>
    <w:rsid w:val="002574FE"/>
    <w:rsid w:val="00264DA6"/>
    <w:rsid w:val="00282486"/>
    <w:rsid w:val="002853CC"/>
    <w:rsid w:val="00290F12"/>
    <w:rsid w:val="002A5688"/>
    <w:rsid w:val="002B2E7C"/>
    <w:rsid w:val="002C058F"/>
    <w:rsid w:val="002F40C0"/>
    <w:rsid w:val="00307716"/>
    <w:rsid w:val="00335C04"/>
    <w:rsid w:val="00341EAA"/>
    <w:rsid w:val="003426FF"/>
    <w:rsid w:val="0034749D"/>
    <w:rsid w:val="00361FF7"/>
    <w:rsid w:val="00391157"/>
    <w:rsid w:val="00393F24"/>
    <w:rsid w:val="00395678"/>
    <w:rsid w:val="003B0582"/>
    <w:rsid w:val="003B7E23"/>
    <w:rsid w:val="003C347E"/>
    <w:rsid w:val="003C7334"/>
    <w:rsid w:val="003F1A7D"/>
    <w:rsid w:val="004021BE"/>
    <w:rsid w:val="00406CB7"/>
    <w:rsid w:val="0041511B"/>
    <w:rsid w:val="00416B13"/>
    <w:rsid w:val="00423345"/>
    <w:rsid w:val="00424F71"/>
    <w:rsid w:val="00430C03"/>
    <w:rsid w:val="0044268A"/>
    <w:rsid w:val="00445855"/>
    <w:rsid w:val="00447581"/>
    <w:rsid w:val="0046166F"/>
    <w:rsid w:val="00462F4A"/>
    <w:rsid w:val="00471E2E"/>
    <w:rsid w:val="00480BD0"/>
    <w:rsid w:val="0048121E"/>
    <w:rsid w:val="004B01E5"/>
    <w:rsid w:val="004B2A96"/>
    <w:rsid w:val="004B5433"/>
    <w:rsid w:val="004D77A7"/>
    <w:rsid w:val="004E780B"/>
    <w:rsid w:val="005204A3"/>
    <w:rsid w:val="00522FDF"/>
    <w:rsid w:val="00523AEF"/>
    <w:rsid w:val="005423DF"/>
    <w:rsid w:val="005543AD"/>
    <w:rsid w:val="005630E4"/>
    <w:rsid w:val="005650CD"/>
    <w:rsid w:val="00574AC8"/>
    <w:rsid w:val="00580DE3"/>
    <w:rsid w:val="00582840"/>
    <w:rsid w:val="00595402"/>
    <w:rsid w:val="0059757C"/>
    <w:rsid w:val="00597913"/>
    <w:rsid w:val="005A2BA7"/>
    <w:rsid w:val="005A74E4"/>
    <w:rsid w:val="005C72C1"/>
    <w:rsid w:val="005D0733"/>
    <w:rsid w:val="005D0B05"/>
    <w:rsid w:val="005D0C70"/>
    <w:rsid w:val="005E225E"/>
    <w:rsid w:val="005F00DF"/>
    <w:rsid w:val="005F258E"/>
    <w:rsid w:val="00602442"/>
    <w:rsid w:val="0060575D"/>
    <w:rsid w:val="00626AC3"/>
    <w:rsid w:val="00627F87"/>
    <w:rsid w:val="00635D75"/>
    <w:rsid w:val="00644256"/>
    <w:rsid w:val="00646D68"/>
    <w:rsid w:val="00674D93"/>
    <w:rsid w:val="0067504D"/>
    <w:rsid w:val="006772A1"/>
    <w:rsid w:val="006874C8"/>
    <w:rsid w:val="006B46D5"/>
    <w:rsid w:val="006B65FF"/>
    <w:rsid w:val="006B6698"/>
    <w:rsid w:val="006D77BE"/>
    <w:rsid w:val="006E65C1"/>
    <w:rsid w:val="006F5BDB"/>
    <w:rsid w:val="0073391C"/>
    <w:rsid w:val="007369F1"/>
    <w:rsid w:val="0074052C"/>
    <w:rsid w:val="00741CDF"/>
    <w:rsid w:val="00741DB9"/>
    <w:rsid w:val="0076067A"/>
    <w:rsid w:val="00760EC6"/>
    <w:rsid w:val="00763B69"/>
    <w:rsid w:val="007737E3"/>
    <w:rsid w:val="00794E6D"/>
    <w:rsid w:val="007A6342"/>
    <w:rsid w:val="007B11CD"/>
    <w:rsid w:val="007D1719"/>
    <w:rsid w:val="007E4D44"/>
    <w:rsid w:val="007F79E7"/>
    <w:rsid w:val="008317D3"/>
    <w:rsid w:val="00834467"/>
    <w:rsid w:val="008368BF"/>
    <w:rsid w:val="00857195"/>
    <w:rsid w:val="00860BB9"/>
    <w:rsid w:val="008642C9"/>
    <w:rsid w:val="00865597"/>
    <w:rsid w:val="00865980"/>
    <w:rsid w:val="00875D6A"/>
    <w:rsid w:val="008A1B49"/>
    <w:rsid w:val="008A4EF7"/>
    <w:rsid w:val="008B0D1D"/>
    <w:rsid w:val="008B125D"/>
    <w:rsid w:val="008D231F"/>
    <w:rsid w:val="008E3A0D"/>
    <w:rsid w:val="008F270C"/>
    <w:rsid w:val="00903EBF"/>
    <w:rsid w:val="0090520A"/>
    <w:rsid w:val="00906791"/>
    <w:rsid w:val="0096606F"/>
    <w:rsid w:val="00966846"/>
    <w:rsid w:val="00980EBF"/>
    <w:rsid w:val="00983D19"/>
    <w:rsid w:val="00983E1F"/>
    <w:rsid w:val="00985A18"/>
    <w:rsid w:val="00991B2B"/>
    <w:rsid w:val="00991EB3"/>
    <w:rsid w:val="00995E75"/>
    <w:rsid w:val="009A3518"/>
    <w:rsid w:val="009C08F1"/>
    <w:rsid w:val="009C24A6"/>
    <w:rsid w:val="009C4EFE"/>
    <w:rsid w:val="009C6AFB"/>
    <w:rsid w:val="009D4BA4"/>
    <w:rsid w:val="00A2257A"/>
    <w:rsid w:val="00A24255"/>
    <w:rsid w:val="00A42674"/>
    <w:rsid w:val="00A44E05"/>
    <w:rsid w:val="00A57F0F"/>
    <w:rsid w:val="00A62715"/>
    <w:rsid w:val="00A66A0C"/>
    <w:rsid w:val="00A679FA"/>
    <w:rsid w:val="00A8641C"/>
    <w:rsid w:val="00A91E78"/>
    <w:rsid w:val="00A92AD1"/>
    <w:rsid w:val="00AA3EFE"/>
    <w:rsid w:val="00AA6809"/>
    <w:rsid w:val="00AB0F7C"/>
    <w:rsid w:val="00AC0A8A"/>
    <w:rsid w:val="00AC5B40"/>
    <w:rsid w:val="00AD4692"/>
    <w:rsid w:val="00AE015F"/>
    <w:rsid w:val="00B05BC3"/>
    <w:rsid w:val="00B0679D"/>
    <w:rsid w:val="00B37FF7"/>
    <w:rsid w:val="00B418E1"/>
    <w:rsid w:val="00B606DA"/>
    <w:rsid w:val="00B63029"/>
    <w:rsid w:val="00B7498B"/>
    <w:rsid w:val="00B7694E"/>
    <w:rsid w:val="00B83F87"/>
    <w:rsid w:val="00B92C4E"/>
    <w:rsid w:val="00B931B8"/>
    <w:rsid w:val="00BB13FF"/>
    <w:rsid w:val="00BB5216"/>
    <w:rsid w:val="00BC3ECC"/>
    <w:rsid w:val="00BF0C0E"/>
    <w:rsid w:val="00BF66DB"/>
    <w:rsid w:val="00C02415"/>
    <w:rsid w:val="00C107A6"/>
    <w:rsid w:val="00C21BCB"/>
    <w:rsid w:val="00C4610F"/>
    <w:rsid w:val="00C51572"/>
    <w:rsid w:val="00C84BD4"/>
    <w:rsid w:val="00C85181"/>
    <w:rsid w:val="00CA4C92"/>
    <w:rsid w:val="00CB0BEE"/>
    <w:rsid w:val="00CB451C"/>
    <w:rsid w:val="00CB65F3"/>
    <w:rsid w:val="00CC05D9"/>
    <w:rsid w:val="00CC3D70"/>
    <w:rsid w:val="00CC52DC"/>
    <w:rsid w:val="00CD60D2"/>
    <w:rsid w:val="00CD6DE8"/>
    <w:rsid w:val="00CE0AFF"/>
    <w:rsid w:val="00CE0F7D"/>
    <w:rsid w:val="00CE23CD"/>
    <w:rsid w:val="00CE26C5"/>
    <w:rsid w:val="00CE3F13"/>
    <w:rsid w:val="00CE714B"/>
    <w:rsid w:val="00CF1D14"/>
    <w:rsid w:val="00CF35BF"/>
    <w:rsid w:val="00D04949"/>
    <w:rsid w:val="00D04CF9"/>
    <w:rsid w:val="00D15776"/>
    <w:rsid w:val="00D218C1"/>
    <w:rsid w:val="00D27A5C"/>
    <w:rsid w:val="00D3481B"/>
    <w:rsid w:val="00D63DF5"/>
    <w:rsid w:val="00DA2EA0"/>
    <w:rsid w:val="00DB09B5"/>
    <w:rsid w:val="00DB3032"/>
    <w:rsid w:val="00DB4041"/>
    <w:rsid w:val="00DC0987"/>
    <w:rsid w:val="00DC291E"/>
    <w:rsid w:val="00DC4CC9"/>
    <w:rsid w:val="00DD5885"/>
    <w:rsid w:val="00DF22FF"/>
    <w:rsid w:val="00E11146"/>
    <w:rsid w:val="00E23A0E"/>
    <w:rsid w:val="00E335A4"/>
    <w:rsid w:val="00E4135A"/>
    <w:rsid w:val="00E421E8"/>
    <w:rsid w:val="00E51228"/>
    <w:rsid w:val="00E61F47"/>
    <w:rsid w:val="00EA0EFE"/>
    <w:rsid w:val="00EA660A"/>
    <w:rsid w:val="00EC6695"/>
    <w:rsid w:val="00EC7368"/>
    <w:rsid w:val="00EE3323"/>
    <w:rsid w:val="00EE52FC"/>
    <w:rsid w:val="00F03602"/>
    <w:rsid w:val="00F03DD3"/>
    <w:rsid w:val="00F11A49"/>
    <w:rsid w:val="00F16B42"/>
    <w:rsid w:val="00F4089D"/>
    <w:rsid w:val="00F44542"/>
    <w:rsid w:val="00F457DF"/>
    <w:rsid w:val="00F479EA"/>
    <w:rsid w:val="00F54987"/>
    <w:rsid w:val="00F75C69"/>
    <w:rsid w:val="00F821C4"/>
    <w:rsid w:val="00F85DEA"/>
    <w:rsid w:val="00F86B5A"/>
    <w:rsid w:val="00F91519"/>
    <w:rsid w:val="00F95D43"/>
    <w:rsid w:val="00FA4CE7"/>
    <w:rsid w:val="00FB7A45"/>
    <w:rsid w:val="00FD5313"/>
    <w:rsid w:val="00FE4D66"/>
    <w:rsid w:val="00FE7EB2"/>
    <w:rsid w:val="00FF2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1F9B9"/>
  <w15:docId w15:val="{4D367C38-9C74-40D3-974F-A2A5B2FB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C3"/>
    <w:pPr>
      <w:ind w:firstLine="284"/>
      <w:jc w:val="both"/>
    </w:pPr>
    <w:rPr>
      <w:color w:val="000000"/>
      <w:u w:color="000000"/>
      <w:lang w:eastAsia="en-US"/>
    </w:rPr>
  </w:style>
  <w:style w:type="paragraph" w:styleId="Heading1">
    <w:name w:val="heading 1"/>
    <w:basedOn w:val="Section"/>
    <w:next w:val="Normal"/>
    <w:link w:val="Heading1Char"/>
    <w:uiPriority w:val="9"/>
    <w:qFormat/>
    <w:rsid w:val="00EC7368"/>
    <w:pPr>
      <w:numPr>
        <w:numId w:val="11"/>
      </w:numPr>
      <w:tabs>
        <w:tab w:val="clear" w:pos="284"/>
      </w:tabs>
      <w:spacing w:after="180"/>
      <w:ind w:left="284" w:hanging="284"/>
      <w:jc w:val="left"/>
      <w:outlineLvl w:val="0"/>
    </w:pPr>
    <w:rPr>
      <w:rFonts w:ascii="Times New Roman" w:hAnsi="Times New Roman" w:cs="Times New Roman"/>
      <w:b/>
      <w:sz w:val="20"/>
      <w:szCs w:val="20"/>
      <w:lang w:val="en-GB"/>
    </w:rPr>
  </w:style>
  <w:style w:type="paragraph" w:styleId="Heading2">
    <w:name w:val="heading 2"/>
    <w:basedOn w:val="Heading1"/>
    <w:next w:val="Normal"/>
    <w:link w:val="Heading2Char"/>
    <w:uiPriority w:val="9"/>
    <w:unhideWhenUsed/>
    <w:qFormat/>
    <w:rsid w:val="008E3A0D"/>
    <w:pPr>
      <w:numPr>
        <w:ilvl w:val="1"/>
      </w:numPr>
      <w:ind w:left="567" w:hanging="567"/>
      <w:outlineLvl w:val="1"/>
    </w:pPr>
    <w:rPr>
      <w:i/>
    </w:rPr>
  </w:style>
  <w:style w:type="paragraph" w:styleId="Heading3">
    <w:name w:val="heading 3"/>
    <w:basedOn w:val="Heading2"/>
    <w:next w:val="Normal"/>
    <w:link w:val="Heading3Char"/>
    <w:uiPriority w:val="9"/>
    <w:unhideWhenUsed/>
    <w:qFormat/>
    <w:rsid w:val="008E3A0D"/>
    <w:pPr>
      <w:numPr>
        <w:ilvl w:val="2"/>
      </w:numPr>
      <w:ind w:left="567" w:hanging="567"/>
      <w:outlineLvl w:val="2"/>
    </w:pPr>
    <w:rPr>
      <w:b w:val="0"/>
    </w:rPr>
  </w:style>
  <w:style w:type="paragraph" w:styleId="Heading4">
    <w:name w:val="heading 4"/>
    <w:basedOn w:val="Normal"/>
    <w:next w:val="Normal"/>
    <w:link w:val="Heading4Char"/>
    <w:uiPriority w:val="9"/>
    <w:unhideWhenUsed/>
    <w:qFormat/>
    <w:rsid w:val="008E3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PaperTitle">
    <w:name w:val="Paper Title"/>
    <w:pPr>
      <w:spacing w:after="120"/>
      <w:jc w:val="center"/>
    </w:pPr>
    <w:rPr>
      <w:rFonts w:ascii="Times New Roman Bold" w:hAnsi="Arial Unicode MS" w:cs="Arial Unicode MS"/>
      <w:color w:val="000000"/>
      <w:sz w:val="36"/>
      <w:szCs w:val="36"/>
      <w:u w:color="000000"/>
      <w:lang w:val="en-US"/>
    </w:rPr>
  </w:style>
  <w:style w:type="paragraph" w:customStyle="1" w:styleId="Author">
    <w:name w:val="Author"/>
    <w:pPr>
      <w:spacing w:before="240" w:after="240"/>
      <w:jc w:val="center"/>
    </w:pPr>
    <w:rPr>
      <w:rFonts w:ascii="Times New Roman Bold" w:hAnsi="Arial Unicode MS" w:cs="Arial Unicode MS"/>
      <w:color w:val="000000"/>
      <w:sz w:val="24"/>
      <w:szCs w:val="24"/>
      <w:u w:color="000000"/>
      <w:lang w:val="en-US"/>
    </w:rPr>
  </w:style>
  <w:style w:type="paragraph" w:customStyle="1" w:styleId="Fax-Email-URL">
    <w:name w:val="Fax-Email-URL"/>
    <w:pPr>
      <w:jc w:val="center"/>
    </w:pPr>
    <w:rPr>
      <w:rFonts w:ascii="Courier New" w:hAnsi="Arial Unicode MS" w:cs="Arial Unicode MS"/>
      <w:color w:val="000000"/>
      <w:u w:color="000000"/>
      <w:lang w:val="pt-PT"/>
    </w:rPr>
  </w:style>
  <w:style w:type="paragraph" w:customStyle="1" w:styleId="Section">
    <w:name w:val="Section"/>
    <w:next w:val="Normal"/>
    <w:pPr>
      <w:tabs>
        <w:tab w:val="left" w:pos="284"/>
      </w:tabs>
      <w:spacing w:before="240" w:after="160"/>
      <w:jc w:val="both"/>
    </w:pPr>
    <w:rPr>
      <w:rFonts w:ascii="Times New Roman Bold" w:hAnsi="Arial Unicode MS" w:cs="Arial Unicode MS"/>
      <w:color w:val="000000"/>
      <w:sz w:val="24"/>
      <w:szCs w:val="24"/>
      <w:u w:color="000000"/>
      <w:lang w:val="en-US"/>
    </w:rPr>
  </w:style>
  <w:style w:type="paragraph" w:customStyle="1" w:styleId="numtext">
    <w:name w:val="numtext"/>
    <w:pPr>
      <w:tabs>
        <w:tab w:val="left" w:pos="1008"/>
      </w:tabs>
      <w:spacing w:before="220"/>
      <w:ind w:left="1008" w:hanging="1008"/>
      <w:jc w:val="both"/>
    </w:pPr>
    <w:rPr>
      <w:rFonts w:ascii="Verdana" w:eastAsia="Verdana" w:hAnsi="Verdana" w:cs="Verdana"/>
      <w:color w:val="000000"/>
      <w:u w:color="000000"/>
      <w:lang w:val="en-US"/>
    </w:rPr>
  </w:style>
  <w:style w:type="paragraph" w:styleId="Caption">
    <w:name w:val="caption"/>
    <w:qFormat/>
    <w:rsid w:val="00EC7368"/>
    <w:pPr>
      <w:spacing w:after="240"/>
      <w:ind w:left="284" w:hanging="284"/>
      <w:jc w:val="center"/>
    </w:pPr>
    <w:rPr>
      <w:rFonts w:eastAsia="Times New Roman"/>
      <w:color w:val="000000"/>
      <w:szCs w:val="16"/>
      <w:u w:color="000000"/>
    </w:rPr>
  </w:style>
  <w:style w:type="paragraph" w:customStyle="1" w:styleId="SubSection">
    <w:name w:val="SubSection"/>
    <w:pPr>
      <w:keepNext/>
      <w:tabs>
        <w:tab w:val="left" w:pos="284"/>
      </w:tabs>
      <w:spacing w:before="240" w:after="160"/>
      <w:jc w:val="both"/>
    </w:pPr>
    <w:rPr>
      <w:rFonts w:ascii="Times New Roman Bold" w:hAnsi="Arial Unicode MS" w:cs="Arial Unicode MS"/>
      <w:color w:val="000000"/>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Header">
    <w:name w:val="header"/>
    <w:basedOn w:val="Normal"/>
    <w:link w:val="HeaderChar"/>
    <w:uiPriority w:val="99"/>
    <w:unhideWhenUsed/>
    <w:rsid w:val="00AB0F7C"/>
    <w:pPr>
      <w:tabs>
        <w:tab w:val="center" w:pos="4513"/>
        <w:tab w:val="right" w:pos="9026"/>
      </w:tabs>
    </w:pPr>
  </w:style>
  <w:style w:type="character" w:customStyle="1" w:styleId="HeaderChar">
    <w:name w:val="Header Char"/>
    <w:basedOn w:val="DefaultParagraphFont"/>
    <w:link w:val="Header"/>
    <w:uiPriority w:val="99"/>
    <w:rsid w:val="00AB0F7C"/>
    <w:rPr>
      <w:rFonts w:hAnsi="Arial Unicode MS" w:cs="Arial Unicode MS"/>
      <w:color w:val="000000"/>
      <w:u w:color="000000"/>
      <w:lang w:val="en-US" w:eastAsia="en-US"/>
    </w:rPr>
  </w:style>
  <w:style w:type="paragraph" w:styleId="Footer">
    <w:name w:val="footer"/>
    <w:basedOn w:val="Normal"/>
    <w:link w:val="FooterChar"/>
    <w:uiPriority w:val="99"/>
    <w:unhideWhenUsed/>
    <w:rsid w:val="00AB0F7C"/>
    <w:pPr>
      <w:tabs>
        <w:tab w:val="center" w:pos="4513"/>
        <w:tab w:val="right" w:pos="9026"/>
      </w:tabs>
    </w:pPr>
  </w:style>
  <w:style w:type="character" w:customStyle="1" w:styleId="FooterChar">
    <w:name w:val="Footer Char"/>
    <w:basedOn w:val="DefaultParagraphFont"/>
    <w:link w:val="Footer"/>
    <w:uiPriority w:val="99"/>
    <w:rsid w:val="00AB0F7C"/>
    <w:rPr>
      <w:rFonts w:hAnsi="Arial Unicode MS" w:cs="Arial Unicode MS"/>
      <w:color w:val="000000"/>
      <w:u w:color="000000"/>
      <w:lang w:val="en-US" w:eastAsia="en-US"/>
    </w:rPr>
  </w:style>
  <w:style w:type="paragraph" w:styleId="BalloonText">
    <w:name w:val="Balloon Text"/>
    <w:basedOn w:val="Normal"/>
    <w:link w:val="BalloonTextChar"/>
    <w:uiPriority w:val="99"/>
    <w:semiHidden/>
    <w:unhideWhenUsed/>
    <w:rsid w:val="00CC05D9"/>
    <w:rPr>
      <w:rFonts w:ascii="Tahoma" w:hAnsi="Tahoma" w:cs="Tahoma"/>
      <w:sz w:val="16"/>
      <w:szCs w:val="16"/>
    </w:rPr>
  </w:style>
  <w:style w:type="character" w:customStyle="1" w:styleId="BalloonTextChar">
    <w:name w:val="Balloon Text Char"/>
    <w:basedOn w:val="DefaultParagraphFont"/>
    <w:link w:val="BalloonText"/>
    <w:uiPriority w:val="99"/>
    <w:semiHidden/>
    <w:rsid w:val="00CC05D9"/>
    <w:rPr>
      <w:rFonts w:ascii="Tahoma" w:hAnsi="Tahoma" w:cs="Tahoma"/>
      <w:color w:val="000000"/>
      <w:sz w:val="16"/>
      <w:szCs w:val="16"/>
      <w:u w:color="000000"/>
      <w:lang w:val="en-US" w:eastAsia="en-US"/>
    </w:rPr>
  </w:style>
  <w:style w:type="table" w:styleId="TableGrid">
    <w:name w:val="Table Grid"/>
    <w:basedOn w:val="TableNormal"/>
    <w:uiPriority w:val="59"/>
    <w:rsid w:val="0018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796"/>
    <w:rPr>
      <w:sz w:val="16"/>
      <w:szCs w:val="16"/>
    </w:rPr>
  </w:style>
  <w:style w:type="paragraph" w:styleId="CommentText">
    <w:name w:val="annotation text"/>
    <w:basedOn w:val="Normal"/>
    <w:link w:val="CommentTextChar"/>
    <w:uiPriority w:val="99"/>
    <w:semiHidden/>
    <w:unhideWhenUsed/>
    <w:rsid w:val="00097796"/>
  </w:style>
  <w:style w:type="character" w:customStyle="1" w:styleId="CommentTextChar">
    <w:name w:val="Comment Text Char"/>
    <w:basedOn w:val="DefaultParagraphFont"/>
    <w:link w:val="CommentText"/>
    <w:uiPriority w:val="99"/>
    <w:semiHidden/>
    <w:rsid w:val="00097796"/>
    <w:rPr>
      <w:rFonts w:hAnsi="Arial Unicode MS" w:cs="Arial Unicode MS"/>
      <w:color w:val="000000"/>
      <w:u w:color="000000"/>
      <w:lang w:eastAsia="en-US"/>
    </w:rPr>
  </w:style>
  <w:style w:type="paragraph" w:styleId="CommentSubject">
    <w:name w:val="annotation subject"/>
    <w:basedOn w:val="CommentText"/>
    <w:next w:val="CommentText"/>
    <w:link w:val="CommentSubjectChar"/>
    <w:uiPriority w:val="99"/>
    <w:semiHidden/>
    <w:unhideWhenUsed/>
    <w:rsid w:val="00097796"/>
    <w:rPr>
      <w:b/>
      <w:bCs/>
    </w:rPr>
  </w:style>
  <w:style w:type="character" w:customStyle="1" w:styleId="CommentSubjectChar">
    <w:name w:val="Comment Subject Char"/>
    <w:basedOn w:val="CommentTextChar"/>
    <w:link w:val="CommentSubject"/>
    <w:uiPriority w:val="99"/>
    <w:semiHidden/>
    <w:rsid w:val="00097796"/>
    <w:rPr>
      <w:rFonts w:hAnsi="Arial Unicode MS" w:cs="Arial Unicode MS"/>
      <w:b/>
      <w:bCs/>
      <w:color w:val="000000"/>
      <w:u w:color="000000"/>
      <w:lang w:eastAsia="en-US"/>
    </w:rPr>
  </w:style>
  <w:style w:type="paragraph" w:styleId="ListParagraph">
    <w:name w:val="List Paragraph"/>
    <w:basedOn w:val="Normal"/>
    <w:uiPriority w:val="34"/>
    <w:qFormat/>
    <w:rsid w:val="00991B2B"/>
    <w:pPr>
      <w:ind w:left="720"/>
      <w:contextualSpacing/>
    </w:pPr>
  </w:style>
  <w:style w:type="paragraph" w:customStyle="1" w:styleId="Heading">
    <w:name w:val="Heading"/>
    <w:basedOn w:val="SubSection"/>
    <w:next w:val="Normal"/>
    <w:rsid w:val="00F408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284"/>
      </w:tabs>
      <w:spacing w:before="120" w:after="180"/>
      <w:jc w:val="center"/>
    </w:pPr>
    <w:rPr>
      <w:rFonts w:ascii="Times New Roman" w:eastAsia="Times New Roman" w:hAnsi="Times New Roman" w:cs="Times New Roman"/>
      <w:b/>
      <w:bCs/>
      <w:color w:val="auto"/>
      <w:szCs w:val="21"/>
      <w:bdr w:val="none" w:sz="0" w:space="0" w:color="auto"/>
      <w:lang w:val="en-GB" w:eastAsia="en-US"/>
    </w:rPr>
  </w:style>
  <w:style w:type="paragraph" w:customStyle="1" w:styleId="References">
    <w:name w:val="References"/>
    <w:basedOn w:val="Normal"/>
    <w:rsid w:val="00F408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right="284"/>
    </w:pPr>
    <w:rPr>
      <w:rFonts w:eastAsia="Times New Roman"/>
      <w:color w:val="auto"/>
      <w:szCs w:val="21"/>
      <w:bdr w:val="none" w:sz="0" w:space="0" w:color="auto"/>
    </w:rPr>
  </w:style>
  <w:style w:type="character" w:customStyle="1" w:styleId="Heading2Char">
    <w:name w:val="Heading 2 Char"/>
    <w:basedOn w:val="DefaultParagraphFont"/>
    <w:link w:val="Heading2"/>
    <w:uiPriority w:val="9"/>
    <w:rsid w:val="008E3A0D"/>
    <w:rPr>
      <w:b/>
      <w:i/>
      <w:color w:val="000000"/>
      <w:u w:color="000000"/>
    </w:rPr>
  </w:style>
  <w:style w:type="character" w:customStyle="1" w:styleId="Heading1Char">
    <w:name w:val="Heading 1 Char"/>
    <w:basedOn w:val="DefaultParagraphFont"/>
    <w:link w:val="Heading1"/>
    <w:uiPriority w:val="9"/>
    <w:rsid w:val="00EC7368"/>
    <w:rPr>
      <w:b/>
      <w:color w:val="000000"/>
      <w:u w:color="000000"/>
    </w:rPr>
  </w:style>
  <w:style w:type="character" w:customStyle="1" w:styleId="Heading3Char">
    <w:name w:val="Heading 3 Char"/>
    <w:basedOn w:val="DefaultParagraphFont"/>
    <w:link w:val="Heading3"/>
    <w:uiPriority w:val="9"/>
    <w:rsid w:val="008E3A0D"/>
    <w:rPr>
      <w:i/>
      <w:color w:val="000000"/>
      <w:u w:color="000000"/>
    </w:rPr>
  </w:style>
  <w:style w:type="character" w:customStyle="1" w:styleId="Heading4Char">
    <w:name w:val="Heading 4 Char"/>
    <w:basedOn w:val="DefaultParagraphFont"/>
    <w:link w:val="Heading4"/>
    <w:uiPriority w:val="9"/>
    <w:rsid w:val="008E3A0D"/>
    <w:rPr>
      <w:rFonts w:asciiTheme="majorHAnsi" w:eastAsiaTheme="majorEastAsia" w:hAnsiTheme="majorHAnsi" w:cstheme="majorBidi"/>
      <w:b/>
      <w:bCs/>
      <w:i/>
      <w:iCs/>
      <w:color w:val="4F81BD" w:themeColor="accent1"/>
      <w:u w:color="000000"/>
      <w:lang w:eastAsia="en-US"/>
    </w:rPr>
  </w:style>
  <w:style w:type="paragraph" w:styleId="Title">
    <w:name w:val="Title"/>
    <w:basedOn w:val="PaperTitle"/>
    <w:next w:val="Normal"/>
    <w:link w:val="TitleChar"/>
    <w:uiPriority w:val="10"/>
    <w:qFormat/>
    <w:rsid w:val="00EC7368"/>
    <w:pPr>
      <w:spacing w:before="120"/>
      <w:jc w:val="left"/>
    </w:pPr>
    <w:rPr>
      <w:rFonts w:ascii="Times New Roman" w:hAnsi="Times New Roman" w:cs="Times New Roman"/>
      <w:b/>
      <w:sz w:val="24"/>
      <w:szCs w:val="20"/>
      <w:lang w:val="en-GB"/>
    </w:rPr>
  </w:style>
  <w:style w:type="character" w:customStyle="1" w:styleId="TitleChar">
    <w:name w:val="Title Char"/>
    <w:basedOn w:val="DefaultParagraphFont"/>
    <w:link w:val="Title"/>
    <w:uiPriority w:val="10"/>
    <w:rsid w:val="00EC7368"/>
    <w:rPr>
      <w:b/>
      <w:color w:val="000000"/>
      <w:sz w:val="24"/>
      <w:u w:color="000000"/>
    </w:rPr>
  </w:style>
  <w:style w:type="paragraph" w:styleId="Subtitle">
    <w:name w:val="Subtitle"/>
    <w:basedOn w:val="Author"/>
    <w:next w:val="Normal"/>
    <w:link w:val="SubtitleChar"/>
    <w:uiPriority w:val="11"/>
    <w:qFormat/>
    <w:rsid w:val="00EC7368"/>
    <w:pPr>
      <w:spacing w:before="120" w:after="120"/>
      <w:jc w:val="left"/>
      <w:outlineLvl w:val="0"/>
    </w:pPr>
    <w:rPr>
      <w:rFonts w:ascii="Times New Roman" w:hAnsi="Times New Roman" w:cs="Times New Roman"/>
      <w:sz w:val="20"/>
      <w:szCs w:val="20"/>
      <w:lang w:val="en-GB"/>
    </w:rPr>
  </w:style>
  <w:style w:type="character" w:customStyle="1" w:styleId="SubtitleChar">
    <w:name w:val="Subtitle Char"/>
    <w:basedOn w:val="DefaultParagraphFont"/>
    <w:link w:val="Subtitle"/>
    <w:uiPriority w:val="11"/>
    <w:rsid w:val="00EC7368"/>
    <w:rPr>
      <w:color w:val="000000"/>
      <w:u w:color="000000"/>
    </w:rPr>
  </w:style>
  <w:style w:type="paragraph" w:customStyle="1" w:styleId="Synopsis">
    <w:name w:val="Synopsis"/>
    <w:qFormat/>
    <w:rsid w:val="00626AC3"/>
    <w:pPr>
      <w:ind w:left="567" w:right="567"/>
      <w:jc w:val="both"/>
    </w:pPr>
    <w:rPr>
      <w:color w:val="000000"/>
      <w:sz w:val="18"/>
      <w:szCs w:val="18"/>
      <w:u w:color="000000"/>
      <w:lang w:eastAsia="en-US"/>
    </w:rPr>
  </w:style>
  <w:style w:type="paragraph" w:customStyle="1" w:styleId="Figure">
    <w:name w:val="Figure"/>
    <w:basedOn w:val="Caption"/>
    <w:qFormat/>
    <w:rsid w:val="00626AC3"/>
    <w:pPr>
      <w:spacing w:after="0"/>
    </w:pPr>
    <w:rPr>
      <w:noProof/>
    </w:rPr>
  </w:style>
  <w:style w:type="paragraph" w:customStyle="1" w:styleId="TableText">
    <w:name w:val="Table Text"/>
    <w:basedOn w:val="Normal"/>
    <w:qFormat/>
    <w:rsid w:val="00626AC3"/>
    <w:pPr>
      <w:ind w:firstLine="0"/>
      <w:jc w:val="center"/>
    </w:pPr>
  </w:style>
  <w:style w:type="paragraph" w:customStyle="1" w:styleId="TableTitle">
    <w:name w:val="Table Title"/>
    <w:basedOn w:val="TableText"/>
    <w:qFormat/>
    <w:rsid w:val="00626AC3"/>
    <w:rPr>
      <w:b/>
    </w:rPr>
  </w:style>
  <w:style w:type="paragraph" w:customStyle="1" w:styleId="Heading1Un-numbered">
    <w:name w:val="Heading 1 Un-numbered"/>
    <w:basedOn w:val="Heading1"/>
    <w:qFormat/>
    <w:rsid w:val="00626AC3"/>
    <w:pPr>
      <w:numPr>
        <w:numId w:val="0"/>
      </w:numPr>
    </w:pPr>
  </w:style>
  <w:style w:type="paragraph" w:customStyle="1" w:styleId="Reference">
    <w:name w:val="Reference"/>
    <w:basedOn w:val="References"/>
    <w:qFormat/>
    <w:rsid w:val="009C08F1"/>
    <w:pPr>
      <w:ind w:left="284" w:hanging="284"/>
    </w:pPr>
  </w:style>
  <w:style w:type="paragraph" w:customStyle="1" w:styleId="Bio">
    <w:name w:val="Bio"/>
    <w:basedOn w:val="Normal"/>
    <w:qFormat/>
    <w:rsid w:val="009C08F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simmonds@gmail.com"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e77224-49e8-4773-8c86-fe850c3b2ed9">
      <Terms xmlns="http://schemas.microsoft.com/office/infopath/2007/PartnerControls"/>
    </lcf76f155ced4ddcb4097134ff3c332f>
    <TaxCatchAll xmlns="5734a5cd-fd32-4be1-8187-6f46eae16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4B0DE3F114AB42A1171D00F09928C1" ma:contentTypeVersion="15" ma:contentTypeDescription="Create a new document." ma:contentTypeScope="" ma:versionID="a47eda70a3a01df9ae1b4a4e137aa1e9">
  <xsd:schema xmlns:xsd="http://www.w3.org/2001/XMLSchema" xmlns:xs="http://www.w3.org/2001/XMLSchema" xmlns:p="http://schemas.microsoft.com/office/2006/metadata/properties" xmlns:ns2="ace77224-49e8-4773-8c86-fe850c3b2ed9" xmlns:ns3="5734a5cd-fd32-4be1-8187-6f46eae16e16" targetNamespace="http://schemas.microsoft.com/office/2006/metadata/properties" ma:root="true" ma:fieldsID="402f2cb99cbdee96fca202ac3c618658" ns2:_="" ns3:_="">
    <xsd:import namespace="ace77224-49e8-4773-8c86-fe850c3b2ed9"/>
    <xsd:import namespace="5734a5cd-fd32-4be1-8187-6f46eae16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7224-49e8-4773-8c86-fe850c3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3d18df-334b-4304-9b19-280d7e6533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4a5cd-fd32-4be1-8187-6f46eae16e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4ef943-a995-4f16-ac44-7ac518478ac0}" ma:internalName="TaxCatchAll" ma:showField="CatchAllData" ma:web="5734a5cd-fd32-4be1-8187-6f46eae16e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183E-3379-4DFA-9B07-7B6326129677}">
  <ds:schemaRefs>
    <ds:schemaRef ds:uri="http://schemas.microsoft.com/sharepoint/v3/contenttype/forms"/>
  </ds:schemaRefs>
</ds:datastoreItem>
</file>

<file path=customXml/itemProps2.xml><?xml version="1.0" encoding="utf-8"?>
<ds:datastoreItem xmlns:ds="http://schemas.openxmlformats.org/officeDocument/2006/customXml" ds:itemID="{AAF09620-6877-4AEB-8E38-55D792D910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BD55A-41E3-4DD4-9B4F-E200FB5E0DE3}"/>
</file>

<file path=customXml/itemProps4.xml><?xml version="1.0" encoding="utf-8"?>
<ds:datastoreItem xmlns:ds="http://schemas.openxmlformats.org/officeDocument/2006/customXml" ds:itemID="{8D8F0F00-BDC8-40AE-A1A1-99FE9E2B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4487</Words>
  <Characters>25582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Simmonds</dc:creator>
  <cp:lastModifiedBy>Jo Lewis</cp:lastModifiedBy>
  <cp:revision>2</cp:revision>
  <cp:lastPrinted>2016-01-29T09:56:00Z</cp:lastPrinted>
  <dcterms:created xsi:type="dcterms:W3CDTF">2023-09-05T15:26:00Z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0x010100514B0DE3F114AB42A1171D00F09928C1</vt:lpwstr>
  </property>
  <property fmtid="{D5CDD505-2E9C-101B-9397-08002B2CF9AE}" pid="3" name="MSIP_Label_1643140c-1537-4175-89e9-04fb5c2c1ea7_Enabled">
    <vt:lpwstr>true</vt:lpwstr>
  </property>
  <property fmtid="{D5CDD505-2E9C-101B-9397-08002B2CF9AE}" pid="4" name="MSIP_Label_1643140c-1537-4175-89e9-04fb5c2c1ea7_SetDate">
    <vt:lpwstr>2022-08-30T07:25:22Z</vt:lpwstr>
  </property>
  <property fmtid="{D5CDD505-2E9C-101B-9397-08002B2CF9AE}" pid="5" name="MSIP_Label_1643140c-1537-4175-89e9-04fb5c2c1ea7_Method">
    <vt:lpwstr>Privileged</vt:lpwstr>
  </property>
  <property fmtid="{D5CDD505-2E9C-101B-9397-08002B2CF9AE}" pid="6" name="MSIP_Label_1643140c-1537-4175-89e9-04fb5c2c1ea7_Name">
    <vt:lpwstr>Public</vt:lpwstr>
  </property>
  <property fmtid="{D5CDD505-2E9C-101B-9397-08002B2CF9AE}" pid="7" name="MSIP_Label_1643140c-1537-4175-89e9-04fb5c2c1ea7_SiteId">
    <vt:lpwstr>b5dfc6f3-6751-4426-ac1a-ae3a5fa0a0db</vt:lpwstr>
  </property>
  <property fmtid="{D5CDD505-2E9C-101B-9397-08002B2CF9AE}" pid="8" name="MSIP_Label_1643140c-1537-4175-89e9-04fb5c2c1ea7_ActionId">
    <vt:lpwstr>20ae5fbf-18d6-498c-9487-94d5867aa5b4</vt:lpwstr>
  </property>
  <property fmtid="{D5CDD505-2E9C-101B-9397-08002B2CF9AE}" pid="9" name="MSIP_Label_1643140c-1537-4175-89e9-04fb5c2c1ea7_ContentBits">
    <vt:lpwstr>0</vt:lpwstr>
  </property>
  <property fmtid="{D5CDD505-2E9C-101B-9397-08002B2CF9AE}" pid="10" name="MediaServiceImageTags">
    <vt:lpwstr/>
  </property>
</Properties>
</file>